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7ABB" w:rsidRPr="00A66F29" w:rsidRDefault="00E87ABB" w:rsidP="00E8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Pr="00A66F2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№27-АМЗ/06-15/2013</w:t>
      </w:r>
      <w:r w:rsidRPr="00A66F2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 Чебоксары</w:t>
      </w:r>
    </w:p>
    <w:p w:rsidR="00E87ABB" w:rsidRPr="00A66F29" w:rsidRDefault="00E87ABB" w:rsidP="00E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E87ABB" w:rsidP="00E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 03 декабря  2013 года.</w:t>
      </w:r>
    </w:p>
    <w:p w:rsidR="00E87ABB" w:rsidRPr="00A66F29" w:rsidRDefault="00E87ABB" w:rsidP="00E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17 декабря  2013 года.</w:t>
      </w:r>
    </w:p>
    <w:p w:rsidR="00E87ABB" w:rsidRPr="00A66F29" w:rsidRDefault="00E87ABB" w:rsidP="00E87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A66F29" w:rsidRDefault="00971C15" w:rsidP="00E87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E87ABB" w:rsidRPr="00A66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E87ABB" w:rsidRPr="00A66F29" w:rsidRDefault="00E87ABB" w:rsidP="00E87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7ABB" w:rsidRPr="00A66F29" w:rsidRDefault="00E87ABB" w:rsidP="00E8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</w:t>
      </w:r>
    </w:p>
    <w:p w:rsidR="00E87ABB" w:rsidRPr="00A66F29" w:rsidRDefault="00E87ABB" w:rsidP="00E8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661"/>
        <w:gridCol w:w="360"/>
        <w:gridCol w:w="6645"/>
      </w:tblGrid>
      <w:tr w:rsidR="00E87ABB" w:rsidRPr="00A66F29" w:rsidTr="00660795">
        <w:tc>
          <w:tcPr>
            <w:tcW w:w="2661" w:type="dxa"/>
          </w:tcPr>
          <w:p w:rsidR="00E87ABB" w:rsidRPr="00A66F29" w:rsidRDefault="00583D3C" w:rsidP="0066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«…»</w:t>
            </w:r>
          </w:p>
        </w:tc>
        <w:tc>
          <w:tcPr>
            <w:tcW w:w="360" w:type="dxa"/>
          </w:tcPr>
          <w:p w:rsidR="00E87ABB" w:rsidRPr="00A66F29" w:rsidRDefault="00E87ABB" w:rsidP="0066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E87ABB" w:rsidRPr="00A66F29" w:rsidRDefault="00E87ABB" w:rsidP="00A66F29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BB" w:rsidRPr="00A66F29" w:rsidTr="00660795">
        <w:tc>
          <w:tcPr>
            <w:tcW w:w="2661" w:type="dxa"/>
          </w:tcPr>
          <w:p w:rsidR="00E87ABB" w:rsidRPr="00A66F29" w:rsidRDefault="00E87ABB" w:rsidP="0066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87ABB" w:rsidRPr="00A66F29" w:rsidRDefault="00E87ABB" w:rsidP="0066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E87ABB" w:rsidRPr="00A66F29" w:rsidRDefault="00E87ABB" w:rsidP="00A66F29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BB" w:rsidRPr="00A66F29" w:rsidTr="00660795">
        <w:tc>
          <w:tcPr>
            <w:tcW w:w="2661" w:type="dxa"/>
          </w:tcPr>
          <w:p w:rsidR="00E87ABB" w:rsidRPr="00A66F29" w:rsidRDefault="00E87ABB" w:rsidP="0066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87ABB" w:rsidRPr="00A66F29" w:rsidRDefault="00E87ABB" w:rsidP="0066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E87ABB" w:rsidRPr="00A66F29" w:rsidRDefault="00E87ABB" w:rsidP="00A66F29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7ABB" w:rsidRPr="00A66F29" w:rsidRDefault="00E87ABB" w:rsidP="00E87AB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sz w:val="28"/>
          <w:szCs w:val="28"/>
        </w:rPr>
        <w:t>в присутствии представителей:</w:t>
      </w:r>
    </w:p>
    <w:p w:rsidR="00E87ABB" w:rsidRPr="00A66F29" w:rsidRDefault="00E87ABB" w:rsidP="00E87AB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u w:val="single"/>
        </w:rPr>
        <w:t>ответчика-Администрации Мариинско-Посадского  городского посел</w:t>
      </w:r>
      <w:r w:rsidRPr="00A66F29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66F29">
        <w:rPr>
          <w:rFonts w:ascii="Times New Roman" w:eastAsia="Times New Roman" w:hAnsi="Times New Roman" w:cs="Times New Roman"/>
          <w:sz w:val="28"/>
          <w:szCs w:val="28"/>
          <w:u w:val="single"/>
        </w:rPr>
        <w:t>ния  Мариинско-Посадского района Чувашской Республики:</w:t>
      </w:r>
      <w:r w:rsidR="00A66F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87ABB" w:rsidRPr="00A66F29" w:rsidRDefault="00583D3C" w:rsidP="00E87AB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«…»</w:t>
      </w:r>
      <w:r w:rsidR="00E87ABB" w:rsidRPr="00A66F29">
        <w:rPr>
          <w:rFonts w:ascii="Times New Roman" w:eastAsia="Times New Roman" w:hAnsi="Times New Roman" w:cs="Times New Roman"/>
          <w:sz w:val="28"/>
          <w:szCs w:val="28"/>
        </w:rPr>
        <w:t xml:space="preserve"> (по доверенности от  17.07.2013 №01/02-12-1011);</w:t>
      </w:r>
    </w:p>
    <w:p w:rsidR="00E87ABB" w:rsidRPr="00A66F29" w:rsidRDefault="00971C15" w:rsidP="00A66F29">
      <w:pPr>
        <w:ind w:firstLine="2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1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E87ABB" w:rsidRPr="00971C15">
        <w:rPr>
          <w:rFonts w:ascii="Times New Roman" w:eastAsia="Times New Roman" w:hAnsi="Times New Roman" w:cs="Times New Roman"/>
          <w:sz w:val="28"/>
          <w:szCs w:val="28"/>
          <w:u w:val="single"/>
        </w:rPr>
        <w:t>аявителя – ОАО «Чувашская энергосбытовая компания</w:t>
      </w:r>
      <w:r w:rsidR="00375ADE" w:rsidRPr="00971C1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87ABB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«…» </w:t>
      </w:r>
      <w:r w:rsidR="00E87ABB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</w:t>
      </w:r>
      <w:r w:rsidR="00E87ABB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ABB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ренности);</w:t>
      </w:r>
    </w:p>
    <w:p w:rsidR="00E87ABB" w:rsidRPr="00A66F29" w:rsidRDefault="00971C15" w:rsidP="00E87AB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75ADE" w:rsidRPr="00A66F29">
        <w:rPr>
          <w:rFonts w:ascii="Times New Roman" w:hAnsi="Times New Roman" w:cs="Times New Roman"/>
          <w:sz w:val="28"/>
          <w:szCs w:val="28"/>
          <w:u w:val="single"/>
        </w:rPr>
        <w:t>аинтересованного  лица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A66F29" w:rsidRPr="00971C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ADE" w:rsidRPr="00971C15">
        <w:rPr>
          <w:rFonts w:ascii="Times New Roman" w:hAnsi="Times New Roman" w:cs="Times New Roman"/>
          <w:sz w:val="28"/>
          <w:szCs w:val="28"/>
          <w:u w:val="single"/>
        </w:rPr>
        <w:t xml:space="preserve"> МУП «Городок»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3D3C">
        <w:rPr>
          <w:rFonts w:ascii="Times New Roman" w:hAnsi="Times New Roman" w:cs="Times New Roman"/>
          <w:sz w:val="28"/>
          <w:szCs w:val="28"/>
        </w:rPr>
        <w:t>«…»</w:t>
      </w:r>
    </w:p>
    <w:p w:rsidR="00E87ABB" w:rsidRPr="00A66F29" w:rsidRDefault="00E87ABB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DE" w:rsidRPr="00A66F29" w:rsidRDefault="00E87ABB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 w:rsidRPr="00A66F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№ 27-АМЗ/06-15/2013, возбужденное в отношении 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Администрации Мариинско-Посадского городского поселения Марии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ско-Посадского района  Чувашской Республики</w:t>
      </w:r>
      <w:r w:rsidRPr="00A66F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признакам 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 xml:space="preserve">нарушения   статьи 15 статьи 17.1   </w:t>
      </w:r>
      <w:r w:rsidRPr="00A66F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Федерального    закона    от   26.07.2006  </w:t>
      </w:r>
      <w:r w:rsidRPr="00A66F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 </w:t>
      </w:r>
      <w:r w:rsidRPr="00A66F29">
        <w:rPr>
          <w:rFonts w:ascii="Times New Roman" w:eastAsia="Times New Roman" w:hAnsi="Times New Roman" w:cs="Times New Roman"/>
          <w:noProof/>
          <w:sz w:val="28"/>
          <w:szCs w:val="28"/>
        </w:rPr>
        <w:t>135-ФЗ   "О защите конкуренции"</w:t>
      </w:r>
      <w:r w:rsidR="00375ADE" w:rsidRPr="00A66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– Закон о защите конкуренции) </w:t>
      </w:r>
    </w:p>
    <w:p w:rsidR="00E87ABB" w:rsidRPr="00A66F29" w:rsidRDefault="00E87ABB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7ABB" w:rsidRPr="00A66F29" w:rsidRDefault="00E87ABB" w:rsidP="00E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установила: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ADE" w:rsidRPr="00A66F29" w:rsidRDefault="00375ADE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Чувашское УФАС России поступило заявление ОАО «Чувашская  энергосбытовая компания» о неправомерной передаче Администрацией Мариинско-Посадского городского поселения  Мариинско-Посадского района Чувашской Республики  в пользование МУП «Городок» муниц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объектов водоснабжения и водоотведения.</w:t>
      </w:r>
    </w:p>
    <w:p w:rsidR="00375ADE" w:rsidRPr="00A66F29" w:rsidRDefault="00375ADE" w:rsidP="0037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заявления следует, что Администрацией Мариинско-Посадского городского поселения  заключены договоры аренды муниципального им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от 17.05.2013 и доверительного управления имуществом от 17.06.2013.</w:t>
      </w:r>
    </w:p>
    <w:p w:rsidR="00375ADE" w:rsidRPr="00A66F29" w:rsidRDefault="00375ADE" w:rsidP="0037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п.2.5.10 договора  аренды муниципального имущества от 17.05.2013 МУП «Городок» в установленный срок указанный договор не зарегистрирован, в связи с чем,  МУП  не получено право использов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предоставленного имущества для организации водоснабжения.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 сведения о государственной регистрации перед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имущества, указанного в договоре доверительного управления, отсу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ствуют,  и договор доверительного управления  имуществом от  17.06.2013 фактически недействителен у ОАО «Чувашская энергосбытовая компания»  отсутствуют  основания для заключения с МУП «Городок» договора эне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госнабжения.  </w:t>
      </w:r>
    </w:p>
    <w:p w:rsidR="00375ADE" w:rsidRPr="00A66F29" w:rsidRDefault="00375ADE" w:rsidP="0037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Вместе с тем, ОАО «Чувашская энергосбытовая компания»  сомнев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в правомерности  передачи администрацией Мариинско-Посадского городского поселения Мариинско-Посадского района Чувашской Респу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объектов водоснабжения и водоотведения  МУП «Городок».</w:t>
      </w:r>
    </w:p>
    <w:p w:rsidR="00375ADE" w:rsidRPr="00A66F29" w:rsidRDefault="00375ADE" w:rsidP="0037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заседании комиссии представитель заявителя поддержала  доводы, изложенные в жалобе.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администрации в рассмотрении дела  пояснила, что   договор  аренды   муниципального имущества  от 17 мая 2013 г.  на 12 объектов водоснабжения заключен по итогам  проведенного аукциона. 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 2013 г. договор доверительного управления от 17.06.2013  по  согласованию сторон расторгнут.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Мариинско-Посадского городского поселения для организации водоснабжения  в </w:t>
      </w:r>
      <w:proofErr w:type="spell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 на дату рассмотрения дела заключено два договора: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аренды  муниципального имущества от 17.05.2013, в кот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12 объектов зарегистрировано  в управлении Федеральной службы государственной регистрации, кадастра и картографии по Чувашской Ре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от 19.10.2013 г.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оперативного управления имуществом о</w:t>
      </w:r>
      <w:r w:rsidR="007E2A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30.09.2013  на передачу 10 объектов. </w:t>
      </w:r>
    </w:p>
    <w:p w:rsidR="00971C15" w:rsidRPr="00A66F29" w:rsidRDefault="00971C15" w:rsidP="00971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Изучив материалы дела, выслушав  представителей участвующих в рассмотрении, Комиссия Чувашского УФАС России приходит к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имущества от 17.05.2013  (12 объектов) заключен с МУП «Городок» в соответствии с проведенным аукционом на право з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договора аренды муниципального имущества.</w:t>
      </w:r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акту приема-передачи муниципального имущества от 17 мая 2013 г. МУП «Городок» передано 12 объектов водоснабжения. </w:t>
      </w:r>
    </w:p>
    <w:p w:rsidR="00375ADE" w:rsidRDefault="00375ADE" w:rsidP="0037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 договору </w:t>
      </w:r>
      <w:r w:rsidRPr="00A66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доверительного управления имуществом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17.06.2013 МУП «Городок» передано 13 объектов водоснабжения и вод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отведения, без проведения аукциона.</w:t>
      </w:r>
    </w:p>
    <w:p w:rsidR="00375ADE" w:rsidRPr="00A66F29" w:rsidRDefault="00375ADE" w:rsidP="00375A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F29">
        <w:rPr>
          <w:rFonts w:ascii="Times New Roman" w:hAnsi="Times New Roman" w:cs="Times New Roman"/>
          <w:sz w:val="28"/>
          <w:szCs w:val="28"/>
        </w:rPr>
        <w:t xml:space="preserve">    1.В силу части 1 статьи  1015 Гражданского Кодекса</w:t>
      </w:r>
      <w:r w:rsidR="00971C1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ГК РФ)</w:t>
      </w:r>
      <w:r w:rsidRPr="00A66F29">
        <w:rPr>
          <w:rFonts w:ascii="Times New Roman" w:hAnsi="Times New Roman" w:cs="Times New Roman"/>
          <w:sz w:val="28"/>
          <w:szCs w:val="28"/>
        </w:rPr>
        <w:t xml:space="preserve"> доверительным управляющим может быть и</w:t>
      </w:r>
      <w:r w:rsidRPr="00A66F29">
        <w:rPr>
          <w:rFonts w:ascii="Times New Roman" w:hAnsi="Times New Roman" w:cs="Times New Roman"/>
          <w:sz w:val="28"/>
          <w:szCs w:val="28"/>
        </w:rPr>
        <w:t>н</w:t>
      </w:r>
      <w:r w:rsidRPr="00A66F29">
        <w:rPr>
          <w:rFonts w:ascii="Times New Roman" w:hAnsi="Times New Roman" w:cs="Times New Roman"/>
          <w:sz w:val="28"/>
          <w:szCs w:val="28"/>
        </w:rPr>
        <w:t xml:space="preserve">дивидуальный предприниматель или коммерческая организация, </w:t>
      </w:r>
      <w:r w:rsidRPr="00A66F29">
        <w:rPr>
          <w:rFonts w:ascii="Times New Roman" w:hAnsi="Times New Roman" w:cs="Times New Roman"/>
          <w:sz w:val="28"/>
          <w:szCs w:val="28"/>
          <w:u w:val="single"/>
        </w:rPr>
        <w:t>за искл</w:t>
      </w:r>
      <w:r w:rsidRPr="00A66F29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A66F29">
        <w:rPr>
          <w:rFonts w:ascii="Times New Roman" w:hAnsi="Times New Roman" w:cs="Times New Roman"/>
          <w:sz w:val="28"/>
          <w:szCs w:val="28"/>
          <w:u w:val="single"/>
        </w:rPr>
        <w:t xml:space="preserve">чением унитарного предприятия. </w:t>
      </w:r>
      <w:r w:rsidRPr="00A66F29">
        <w:rPr>
          <w:rFonts w:ascii="Times New Roman" w:hAnsi="Times New Roman" w:cs="Times New Roman"/>
          <w:sz w:val="28"/>
          <w:szCs w:val="28"/>
        </w:rPr>
        <w:t>Следовательно</w:t>
      </w:r>
      <w:r w:rsidR="007E2A6B">
        <w:rPr>
          <w:rFonts w:ascii="Times New Roman" w:hAnsi="Times New Roman" w:cs="Times New Roman"/>
          <w:sz w:val="28"/>
          <w:szCs w:val="28"/>
        </w:rPr>
        <w:t>,</w:t>
      </w:r>
      <w:r w:rsidRPr="00A66F29">
        <w:rPr>
          <w:rFonts w:ascii="Times New Roman" w:hAnsi="Times New Roman" w:cs="Times New Roman"/>
          <w:sz w:val="28"/>
          <w:szCs w:val="28"/>
        </w:rPr>
        <w:t xml:space="preserve">  нормы статьи  1015 ГК РФ ограничивают круг  лиц, которые могут быть  доверительными упра</w:t>
      </w:r>
      <w:r w:rsidRPr="00A66F29">
        <w:rPr>
          <w:rFonts w:ascii="Times New Roman" w:hAnsi="Times New Roman" w:cs="Times New Roman"/>
          <w:sz w:val="28"/>
          <w:szCs w:val="28"/>
        </w:rPr>
        <w:t>в</w:t>
      </w:r>
      <w:r w:rsidRPr="00A66F29">
        <w:rPr>
          <w:rFonts w:ascii="Times New Roman" w:hAnsi="Times New Roman" w:cs="Times New Roman"/>
          <w:sz w:val="28"/>
          <w:szCs w:val="28"/>
        </w:rPr>
        <w:t xml:space="preserve">ляющими, в частности, муниципальные  унитарные предприятия, </w:t>
      </w:r>
      <w:r w:rsidR="007E2A6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7E2A6B">
        <w:rPr>
          <w:rFonts w:ascii="Times New Roman" w:hAnsi="Times New Roman" w:cs="Times New Roman"/>
          <w:sz w:val="28"/>
          <w:szCs w:val="28"/>
        </w:rPr>
        <w:t>прим</w:t>
      </w:r>
      <w:r w:rsidR="007E2A6B">
        <w:rPr>
          <w:rFonts w:ascii="Times New Roman" w:hAnsi="Times New Roman" w:cs="Times New Roman"/>
          <w:sz w:val="28"/>
          <w:szCs w:val="28"/>
        </w:rPr>
        <w:t>е</w:t>
      </w:r>
      <w:r w:rsidR="007E2A6B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7E2A6B">
        <w:rPr>
          <w:rFonts w:ascii="Times New Roman" w:hAnsi="Times New Roman" w:cs="Times New Roman"/>
          <w:sz w:val="28"/>
          <w:szCs w:val="28"/>
        </w:rPr>
        <w:t xml:space="preserve"> </w:t>
      </w:r>
      <w:r w:rsidRPr="00A66F29">
        <w:rPr>
          <w:rFonts w:ascii="Times New Roman" w:hAnsi="Times New Roman" w:cs="Times New Roman"/>
          <w:sz w:val="28"/>
          <w:szCs w:val="28"/>
        </w:rPr>
        <w:t>МУП «Городок».</w:t>
      </w:r>
    </w:p>
    <w:p w:rsidR="00375ADE" w:rsidRPr="00A66F29" w:rsidRDefault="00A66F29" w:rsidP="00375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5ADE" w:rsidRPr="00A66F29">
        <w:rPr>
          <w:rFonts w:ascii="Times New Roman" w:hAnsi="Times New Roman" w:cs="Times New Roman"/>
          <w:sz w:val="28"/>
          <w:szCs w:val="28"/>
        </w:rPr>
        <w:t>В соответствии с нормами  ст.166-168 ГК РФ, сделка, не соотве</w:t>
      </w:r>
      <w:r w:rsidR="00375ADE" w:rsidRPr="00A66F29">
        <w:rPr>
          <w:rFonts w:ascii="Times New Roman" w:hAnsi="Times New Roman" w:cs="Times New Roman"/>
          <w:sz w:val="28"/>
          <w:szCs w:val="28"/>
        </w:rPr>
        <w:t>т</w:t>
      </w:r>
      <w:r w:rsidR="00375ADE" w:rsidRPr="00A66F29">
        <w:rPr>
          <w:rFonts w:ascii="Times New Roman" w:hAnsi="Times New Roman" w:cs="Times New Roman"/>
          <w:sz w:val="28"/>
          <w:szCs w:val="28"/>
        </w:rPr>
        <w:t>ствующая требованиям закона или иного правового акта и при этом пос</w:t>
      </w:r>
      <w:r w:rsidR="00375ADE" w:rsidRPr="00A66F29">
        <w:rPr>
          <w:rFonts w:ascii="Times New Roman" w:hAnsi="Times New Roman" w:cs="Times New Roman"/>
          <w:sz w:val="28"/>
          <w:szCs w:val="28"/>
        </w:rPr>
        <w:t>я</w:t>
      </w:r>
      <w:r w:rsidR="00375ADE" w:rsidRPr="00A66F29">
        <w:rPr>
          <w:rFonts w:ascii="Times New Roman" w:hAnsi="Times New Roman" w:cs="Times New Roman"/>
          <w:sz w:val="28"/>
          <w:szCs w:val="28"/>
        </w:rPr>
        <w:t>гающая на публичные интересы либо права и охраняемые законом интер</w:t>
      </w:r>
      <w:r w:rsidR="00375ADE" w:rsidRPr="00A66F29">
        <w:rPr>
          <w:rFonts w:ascii="Times New Roman" w:hAnsi="Times New Roman" w:cs="Times New Roman"/>
          <w:sz w:val="28"/>
          <w:szCs w:val="28"/>
        </w:rPr>
        <w:t>е</w:t>
      </w:r>
      <w:r w:rsidR="00375ADE" w:rsidRPr="00A66F29">
        <w:rPr>
          <w:rFonts w:ascii="Times New Roman" w:hAnsi="Times New Roman" w:cs="Times New Roman"/>
          <w:sz w:val="28"/>
          <w:szCs w:val="28"/>
        </w:rPr>
        <w:t>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  <w:proofErr w:type="gramEnd"/>
    </w:p>
    <w:p w:rsidR="00375ADE" w:rsidRPr="00A66F29" w:rsidRDefault="00375ADE" w:rsidP="00375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 муниципального имущества  от 17 мая 2013 г. и 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доверительного управления имуществом  от 17.06.2013 заключе</w:t>
      </w:r>
      <w:r w:rsidR="003926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прием</w:t>
      </w:r>
      <w:proofErr w:type="gram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 муниципального имущества состоялся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зафиксирован  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 к акту приема  передачи муниципальн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 от 05.06.2013  Акт  приема передачи муниципального  им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C7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переданного в аренду по договору  муниципального имущества от 17 мая 2013 г.</w:t>
      </w:r>
      <w:r w:rsidR="007E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обоснование  с приложением подтве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документов передачи МУП «Городок» объектов недвижимости, являющихся муниципальной собственностью Мариинско-Посадского г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</w:t>
      </w:r>
      <w:r w:rsidRPr="00A66F29">
        <w:rPr>
          <w:rFonts w:ascii="Times New Roman" w:hAnsi="Times New Roman" w:cs="Times New Roman"/>
          <w:sz w:val="28"/>
          <w:szCs w:val="28"/>
        </w:rPr>
        <w:t xml:space="preserve"> относительно п.2, п.6, п.7, п.9, п.10, п.11, п.12, п.13, п.14, п.16, п.17, п.18, п.21, п.22, п.23 п.24, п.25  акта приема –</w:t>
      </w:r>
      <w:r w:rsidR="00FB6A29" w:rsidRPr="00A66F29">
        <w:rPr>
          <w:rFonts w:ascii="Times New Roman" w:hAnsi="Times New Roman" w:cs="Times New Roman"/>
          <w:sz w:val="28"/>
          <w:szCs w:val="28"/>
        </w:rPr>
        <w:t xml:space="preserve"> </w:t>
      </w:r>
      <w:r w:rsidRPr="00A66F29">
        <w:rPr>
          <w:rFonts w:ascii="Times New Roman" w:hAnsi="Times New Roman" w:cs="Times New Roman"/>
          <w:sz w:val="28"/>
          <w:szCs w:val="28"/>
        </w:rPr>
        <w:t>передачи  муниципального имущества переданного в аренду</w:t>
      </w:r>
      <w:proofErr w:type="gramEnd"/>
      <w:r w:rsidRPr="00A66F29">
        <w:rPr>
          <w:rFonts w:ascii="Times New Roman" w:hAnsi="Times New Roman" w:cs="Times New Roman"/>
          <w:sz w:val="28"/>
          <w:szCs w:val="28"/>
        </w:rPr>
        <w:t xml:space="preserve"> по договору аренды м</w:t>
      </w:r>
      <w:r w:rsidRPr="00A66F29">
        <w:rPr>
          <w:rFonts w:ascii="Times New Roman" w:hAnsi="Times New Roman" w:cs="Times New Roman"/>
          <w:sz w:val="28"/>
          <w:szCs w:val="28"/>
        </w:rPr>
        <w:t>у</w:t>
      </w:r>
      <w:r w:rsidRPr="00A66F29">
        <w:rPr>
          <w:rFonts w:ascii="Times New Roman" w:hAnsi="Times New Roman" w:cs="Times New Roman"/>
          <w:sz w:val="28"/>
          <w:szCs w:val="28"/>
        </w:rPr>
        <w:t>ниципального имущества от 17 мая 2013 г.  (приложение №1 к акту при</w:t>
      </w:r>
      <w:r w:rsidRPr="00A66F29">
        <w:rPr>
          <w:rFonts w:ascii="Times New Roman" w:hAnsi="Times New Roman" w:cs="Times New Roman"/>
          <w:sz w:val="28"/>
          <w:szCs w:val="28"/>
        </w:rPr>
        <w:t>е</w:t>
      </w:r>
      <w:r w:rsidRPr="00A66F29">
        <w:rPr>
          <w:rFonts w:ascii="Times New Roman" w:hAnsi="Times New Roman" w:cs="Times New Roman"/>
          <w:sz w:val="28"/>
          <w:szCs w:val="28"/>
        </w:rPr>
        <w:t xml:space="preserve">ма-передачи муниципального имущества от 05.06.2013) администрацией  не </w:t>
      </w:r>
      <w:proofErr w:type="gramStart"/>
      <w:r w:rsidRPr="00A66F29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A66F29">
        <w:rPr>
          <w:rFonts w:ascii="Times New Roman" w:hAnsi="Times New Roman" w:cs="Times New Roman"/>
          <w:sz w:val="28"/>
          <w:szCs w:val="28"/>
        </w:rPr>
        <w:t>.</w:t>
      </w:r>
    </w:p>
    <w:p w:rsidR="00375ADE" w:rsidRPr="00A66F29" w:rsidRDefault="00A46150" w:rsidP="00FB6A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1 статьи 17.1 закона о защите конкуренции заключение договоров аренды, договоров безвозмездного пользования, </w:t>
      </w:r>
      <w:r w:rsidR="00375ADE" w:rsidRPr="00971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договоров д</w:t>
      </w:r>
      <w:r w:rsidR="00375ADE" w:rsidRPr="00971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375ADE" w:rsidRPr="00971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верительного управления имуществом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договоров, предусматрива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переход прав владения и (или) пользования в отношении госуда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или муниципального имущества, не закрепленного на праве х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зяйственного ведения или оперативного управления, может быть ос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ществлено только по результатам проведения конкурсов или аукционов на право заключения этих договоров, за</w:t>
      </w:r>
      <w:proofErr w:type="gramEnd"/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предоставления ук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прав на такое имущество. </w:t>
      </w:r>
      <w:r w:rsidR="00FB6A29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МУП «Городок»  муниц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 по договору доверительного управления под искл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5ADE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 подпадает.</w:t>
      </w:r>
    </w:p>
    <w:p w:rsidR="00375ADE" w:rsidRPr="00A66F29" w:rsidRDefault="00375ADE" w:rsidP="00375A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 договор доверительного управления вышеуказанным имуществом заключен  без проведения торгов. Следовательно, данные действия администрации Мариинско-Посадского </w:t>
      </w:r>
      <w:r w:rsidR="00FB6A29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  требования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17.1 Закона о защите конкуренции. </w:t>
      </w:r>
    </w:p>
    <w:p w:rsidR="00375ADE" w:rsidRPr="00A66F29" w:rsidRDefault="00375ADE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29" w:rsidRPr="00A66F29" w:rsidRDefault="00FB6A29" w:rsidP="00FB6A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15 Закона о защите конкуренции </w:t>
      </w:r>
      <w:r w:rsidRPr="00A66F29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</w:t>
      </w:r>
      <w:r w:rsidRPr="00A66F29">
        <w:rPr>
          <w:rFonts w:ascii="Times New Roman" w:hAnsi="Times New Roman" w:cs="Times New Roman"/>
          <w:sz w:val="28"/>
          <w:szCs w:val="28"/>
        </w:rPr>
        <w:t>е</w:t>
      </w:r>
      <w:r w:rsidRPr="00A66F29">
        <w:rPr>
          <w:rFonts w:ascii="Times New Roman" w:hAnsi="Times New Roman" w:cs="Times New Roman"/>
          <w:sz w:val="28"/>
          <w:szCs w:val="28"/>
        </w:rPr>
        <w:t>ния, иным осуществляющим функции указанных органов органам или о</w:t>
      </w:r>
      <w:r w:rsidRPr="00A66F29">
        <w:rPr>
          <w:rFonts w:ascii="Times New Roman" w:hAnsi="Times New Roman" w:cs="Times New Roman"/>
          <w:sz w:val="28"/>
          <w:szCs w:val="28"/>
        </w:rPr>
        <w:t>р</w:t>
      </w:r>
      <w:r w:rsidRPr="00A66F29">
        <w:rPr>
          <w:rFonts w:ascii="Times New Roman" w:hAnsi="Times New Roman" w:cs="Times New Roman"/>
          <w:sz w:val="28"/>
          <w:szCs w:val="28"/>
        </w:rPr>
        <w:t>ганизациям, организациям, участвующим в предоставлении государстве</w:t>
      </w:r>
      <w:r w:rsidRPr="00A66F29">
        <w:rPr>
          <w:rFonts w:ascii="Times New Roman" w:hAnsi="Times New Roman" w:cs="Times New Roman"/>
          <w:sz w:val="28"/>
          <w:szCs w:val="28"/>
        </w:rPr>
        <w:t>н</w:t>
      </w:r>
      <w:r w:rsidRPr="00A66F29">
        <w:rPr>
          <w:rFonts w:ascii="Times New Roman" w:hAnsi="Times New Roman" w:cs="Times New Roman"/>
          <w:sz w:val="28"/>
          <w:szCs w:val="28"/>
        </w:rPr>
        <w:t>ных или муниципальных услуг, а также государственным внебюджетным фондам, Центральному банку Российской Федерации запрещается прин</w:t>
      </w:r>
      <w:r w:rsidRPr="00A66F29">
        <w:rPr>
          <w:rFonts w:ascii="Times New Roman" w:hAnsi="Times New Roman" w:cs="Times New Roman"/>
          <w:sz w:val="28"/>
          <w:szCs w:val="28"/>
        </w:rPr>
        <w:t>и</w:t>
      </w:r>
      <w:r w:rsidRPr="00A66F29">
        <w:rPr>
          <w:rFonts w:ascii="Times New Roman" w:hAnsi="Times New Roman" w:cs="Times New Roman"/>
          <w:sz w:val="28"/>
          <w:szCs w:val="28"/>
        </w:rPr>
        <w:t>мать акты и (или) осуществлять действия (бездействие), которые приводят или</w:t>
      </w:r>
      <w:proofErr w:type="gramEnd"/>
      <w:r w:rsidRPr="00A66F29">
        <w:rPr>
          <w:rFonts w:ascii="Times New Roman" w:hAnsi="Times New Roman" w:cs="Times New Roman"/>
          <w:sz w:val="28"/>
          <w:szCs w:val="28"/>
        </w:rPr>
        <w:t xml:space="preserve"> могут привести к недопущению, ограничению, устранению конкуре</w:t>
      </w:r>
      <w:r w:rsidRPr="00A66F29">
        <w:rPr>
          <w:rFonts w:ascii="Times New Roman" w:hAnsi="Times New Roman" w:cs="Times New Roman"/>
          <w:sz w:val="28"/>
          <w:szCs w:val="28"/>
        </w:rPr>
        <w:t>н</w:t>
      </w:r>
      <w:r w:rsidRPr="00A66F29">
        <w:rPr>
          <w:rFonts w:ascii="Times New Roman" w:hAnsi="Times New Roman" w:cs="Times New Roman"/>
          <w:sz w:val="28"/>
          <w:szCs w:val="28"/>
        </w:rPr>
        <w:t>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084942" w:rsidRPr="00084942" w:rsidRDefault="00FB6A29" w:rsidP="005D0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29">
        <w:rPr>
          <w:rFonts w:ascii="Times New Roman" w:hAnsi="Times New Roman" w:cs="Times New Roman"/>
          <w:sz w:val="28"/>
          <w:szCs w:val="28"/>
        </w:rPr>
        <w:tab/>
      </w:r>
      <w:r w:rsidR="00392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Из данного положения следует, что органам местного самоуправл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ния запрещено принимать не только акты и совершать действия, которые приводят к недопущению, ограничению, устранению конкуренции, но и те из них, которые могут привести к таким последствиям, поскольку дост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точным основанием для вывода о нарушении </w:t>
      </w:r>
      <w:hyperlink r:id="rId8" w:history="1">
        <w:r w:rsidR="00084942" w:rsidRPr="0008494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15</w:t>
        </w:r>
      </w:hyperlink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 защите конкуренции является создание условий, возможности для насту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последствий в виде недопущения, ограничения</w:t>
      </w:r>
      <w:proofErr w:type="gramEnd"/>
      <w:r w:rsidR="00084942"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устранения конкуренции.</w:t>
      </w:r>
    </w:p>
    <w:p w:rsidR="00084942" w:rsidRPr="00084942" w:rsidRDefault="00084942" w:rsidP="00084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под конкуренцией понимается соперничество хозяйств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ющих субъектов, при котором самостоятельными действиями каждого из них исключается или ограничивается возможность каждого из них в одн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стороннем порядке воздействовать на общие условия обращения товаров на соответствующем товарном рынке (пункт 7 статьи 4 Закона о защите конкуренции).</w:t>
      </w:r>
    </w:p>
    <w:p w:rsidR="00084942" w:rsidRPr="00084942" w:rsidRDefault="00084942" w:rsidP="00084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пункту 17 статьи 4 Закона о защите конкуренции призн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ками ограничения конкуренции являются, в том, числе, любые обстоятел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ства, создающие возможность для хозяйствующего субъекта или нескол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84942">
        <w:rPr>
          <w:rFonts w:ascii="Times New Roman" w:eastAsia="Calibri" w:hAnsi="Times New Roman" w:cs="Times New Roman"/>
          <w:sz w:val="28"/>
          <w:szCs w:val="28"/>
          <w:lang w:eastAsia="ru-RU"/>
        </w:rPr>
        <w:t>ких хозяйствующих субъектов в одностороннем порядке воздействовать на общие условия обращения товара на товарном рынке.</w:t>
      </w:r>
    </w:p>
    <w:p w:rsidR="00084942" w:rsidRPr="00084942" w:rsidRDefault="00084942" w:rsidP="00084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E2A6B">
        <w:rPr>
          <w:rFonts w:ascii="Times New Roman" w:eastAsia="Calibri" w:hAnsi="Times New Roman" w:cs="Times New Roman"/>
          <w:sz w:val="28"/>
          <w:szCs w:val="28"/>
        </w:rPr>
        <w:t xml:space="preserve"> частью 1 статьи 17.1 Закона о защите конкуре</w:t>
      </w:r>
      <w:r w:rsidR="007E2A6B">
        <w:rPr>
          <w:rFonts w:ascii="Times New Roman" w:eastAsia="Calibri" w:hAnsi="Times New Roman" w:cs="Times New Roman"/>
          <w:sz w:val="28"/>
          <w:szCs w:val="28"/>
        </w:rPr>
        <w:t>н</w:t>
      </w:r>
      <w:r w:rsidR="007E2A6B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 xml:space="preserve">  договоры аренды,  договоры безвозмездного пользования, договоры доверительного управления имуществом,  иные договоры, предусматр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и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lastRenderedPageBreak/>
        <w:t>вающие переход прав владения и (или</w:t>
      </w:r>
      <w:proofErr w:type="gramStart"/>
      <w:r w:rsidR="00FB0A7B" w:rsidRPr="00A66F2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FB0A7B" w:rsidRPr="00A66F29">
        <w:rPr>
          <w:rFonts w:ascii="Times New Roman" w:eastAsia="Calibri" w:hAnsi="Times New Roman" w:cs="Times New Roman"/>
          <w:sz w:val="28"/>
          <w:szCs w:val="28"/>
        </w:rPr>
        <w:t xml:space="preserve"> пользования  в отношении гос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у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дарственного  или муниципального имущества, не закрепленного на праве  хозяйственного  ведения или оперативного управления, может быть ос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у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ществлено только по результатам проведения конкурсов или аукционов на право  заключения этих договоров.</w:t>
      </w:r>
    </w:p>
    <w:p w:rsidR="00084942" w:rsidRPr="00084942" w:rsidRDefault="005D0C77" w:rsidP="0008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Аукцион представляет собой процесс заключения сделки с любым лицом, предложившим наиболее </w:t>
      </w:r>
      <w:r w:rsidR="00084942" w:rsidRPr="0008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цену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, выявление которого д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о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стигается путем соблюдения принципов публичности и состязательности, т.е. торги (аукцион) являются наиболее </w:t>
      </w:r>
      <w:r w:rsidR="00084942" w:rsidRPr="00084942">
        <w:rPr>
          <w:rFonts w:ascii="Times New Roman" w:eastAsia="Calibri" w:hAnsi="Times New Roman" w:cs="Times New Roman"/>
          <w:b/>
          <w:sz w:val="28"/>
          <w:szCs w:val="28"/>
        </w:rPr>
        <w:t>конкурентным способом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закл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ю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чения договора.</w:t>
      </w:r>
    </w:p>
    <w:p w:rsidR="00A46150" w:rsidRPr="00A66F29" w:rsidRDefault="00084942" w:rsidP="00392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Таким образом, порядок, предусмотренный </w:t>
      </w:r>
      <w:r w:rsidR="00FB0A7B" w:rsidRPr="00A66F29">
        <w:rPr>
          <w:rFonts w:ascii="Times New Roman" w:eastAsia="Calibri" w:hAnsi="Times New Roman" w:cs="Times New Roman"/>
          <w:sz w:val="28"/>
          <w:szCs w:val="28"/>
        </w:rPr>
        <w:t>Приказом  ФАС России  от 10.02.2010 №67</w:t>
      </w:r>
      <w:r w:rsidRPr="00084942">
        <w:rPr>
          <w:rFonts w:ascii="Times New Roman" w:eastAsia="Calibri" w:hAnsi="Times New Roman" w:cs="Times New Roman"/>
          <w:sz w:val="28"/>
          <w:szCs w:val="28"/>
        </w:rPr>
        <w:t>, предусматривает максимально конкурентный способ заключения договора  - проведение аукциона, который позволит выявить потенциальных</w:t>
      </w:r>
      <w:r w:rsidR="007E2A6B">
        <w:rPr>
          <w:rFonts w:ascii="Times New Roman" w:eastAsia="Calibri" w:hAnsi="Times New Roman" w:cs="Times New Roman"/>
          <w:sz w:val="28"/>
          <w:szCs w:val="28"/>
        </w:rPr>
        <w:t xml:space="preserve"> участников, претендующих на право  получения  муниц</w:t>
      </w:r>
      <w:r w:rsidR="007E2A6B">
        <w:rPr>
          <w:rFonts w:ascii="Times New Roman" w:eastAsia="Calibri" w:hAnsi="Times New Roman" w:cs="Times New Roman"/>
          <w:sz w:val="28"/>
          <w:szCs w:val="28"/>
        </w:rPr>
        <w:t>и</w:t>
      </w:r>
      <w:r w:rsidR="007E2A6B">
        <w:rPr>
          <w:rFonts w:ascii="Times New Roman" w:eastAsia="Calibri" w:hAnsi="Times New Roman" w:cs="Times New Roman"/>
          <w:sz w:val="28"/>
          <w:szCs w:val="28"/>
        </w:rPr>
        <w:t>пального имущества в аренду.</w:t>
      </w: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150" w:rsidRPr="00A66F29" w:rsidRDefault="00971C15" w:rsidP="0039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администрацией  Мариинско-Посадского городского поселения</w:t>
      </w:r>
      <w:r w:rsidRPr="0097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договор аренды  муниципального имущества от 17.05.2013 заключен  по итогам проведенного аукциона, п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бедителем которого является МУП «Городок»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данному догов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МУП «Городок» передано 12 объектов  водоснабжения и </w:t>
      </w:r>
      <w:proofErr w:type="gramStart"/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proofErr w:type="gramEnd"/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являющихся муниципальной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упра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Федеральной службы государственной регистрации, кадастра и ка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6150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тографии по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ашской Республике от 19.10.2013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 Приложению № 1 к акту  приема-передачи муниципального имущества от 05.06.2013  на основании  договора аренды  муниципального имущества, находящегося  в собственности  Мариинско-Посадского поселения  Ч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от 17 мая 2013 г.  на право организации  водоснабж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в </w:t>
      </w:r>
      <w:proofErr w:type="spellStart"/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 w:rsidR="0039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Мариинско-Посадского г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 в лице Главы администрации  передает  муниципал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имущество  - 25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на 5 лет.</w:t>
      </w:r>
      <w:r w:rsidR="00BB0947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Причем, на право закл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договора аренды на 13   объектов аукцион  администрацией не пр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082"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водился.</w:t>
      </w:r>
    </w:p>
    <w:p w:rsidR="00084942" w:rsidRPr="00A66F29" w:rsidRDefault="00971C15" w:rsidP="000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11082" w:rsidRPr="00A66F29">
        <w:rPr>
          <w:rFonts w:ascii="Times New Roman" w:hAnsi="Times New Roman" w:cs="Times New Roman"/>
          <w:sz w:val="28"/>
          <w:szCs w:val="28"/>
        </w:rPr>
        <w:t>С</w:t>
      </w:r>
      <w:r w:rsidR="00084942" w:rsidRPr="00A66F29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9" w:history="1">
        <w:r w:rsidR="00084942" w:rsidRPr="00A66F29">
          <w:rPr>
            <w:rFonts w:ascii="Times New Roman" w:hAnsi="Times New Roman" w:cs="Times New Roman"/>
            <w:color w:val="0000FF"/>
            <w:sz w:val="28"/>
            <w:szCs w:val="28"/>
          </w:rPr>
          <w:t>пункту 20 статьи 4</w:t>
        </w:r>
      </w:hyperlink>
      <w:r w:rsidR="00084942" w:rsidRPr="00A66F2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 (далее - Закон о защите конкуренции) государственными или муниципальными преференциями является пред</w:t>
      </w:r>
      <w:r w:rsidR="00084942" w:rsidRPr="00A66F29">
        <w:rPr>
          <w:rFonts w:ascii="Times New Roman" w:hAnsi="Times New Roman" w:cs="Times New Roman"/>
          <w:sz w:val="28"/>
          <w:szCs w:val="28"/>
        </w:rPr>
        <w:t>о</w:t>
      </w:r>
      <w:r w:rsidR="00084942" w:rsidRPr="00A66F29">
        <w:rPr>
          <w:rFonts w:ascii="Times New Roman" w:hAnsi="Times New Roman" w:cs="Times New Roman"/>
          <w:sz w:val="28"/>
          <w:szCs w:val="28"/>
        </w:rPr>
        <w:t>ставление федеральными органами исполнительной власти, органами го</w:t>
      </w:r>
      <w:r w:rsidR="00084942" w:rsidRPr="00A66F29">
        <w:rPr>
          <w:rFonts w:ascii="Times New Roman" w:hAnsi="Times New Roman" w:cs="Times New Roman"/>
          <w:sz w:val="28"/>
          <w:szCs w:val="28"/>
        </w:rPr>
        <w:t>с</w:t>
      </w:r>
      <w:r w:rsidR="00084942" w:rsidRPr="00A66F29">
        <w:rPr>
          <w:rFonts w:ascii="Times New Roman" w:hAnsi="Times New Roman" w:cs="Times New Roman"/>
          <w:sz w:val="28"/>
          <w:szCs w:val="28"/>
        </w:rPr>
        <w:t>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 отдельным хозяйствующим субъектам пр</w:t>
      </w:r>
      <w:r w:rsidR="00084942" w:rsidRPr="00A66F29">
        <w:rPr>
          <w:rFonts w:ascii="Times New Roman" w:hAnsi="Times New Roman" w:cs="Times New Roman"/>
          <w:sz w:val="28"/>
          <w:szCs w:val="28"/>
        </w:rPr>
        <w:t>е</w:t>
      </w:r>
      <w:r w:rsidR="00084942" w:rsidRPr="00A66F29">
        <w:rPr>
          <w:rFonts w:ascii="Times New Roman" w:hAnsi="Times New Roman" w:cs="Times New Roman"/>
          <w:sz w:val="28"/>
          <w:szCs w:val="28"/>
        </w:rPr>
        <w:t>имущества, которое обеспечивает им более выгодные условия деятельн</w:t>
      </w:r>
      <w:r w:rsidR="00084942" w:rsidRPr="00A66F29">
        <w:rPr>
          <w:rFonts w:ascii="Times New Roman" w:hAnsi="Times New Roman" w:cs="Times New Roman"/>
          <w:sz w:val="28"/>
          <w:szCs w:val="28"/>
        </w:rPr>
        <w:t>о</w:t>
      </w:r>
      <w:r w:rsidR="00084942" w:rsidRPr="00A66F29">
        <w:rPr>
          <w:rFonts w:ascii="Times New Roman" w:hAnsi="Times New Roman" w:cs="Times New Roman"/>
          <w:sz w:val="28"/>
          <w:szCs w:val="28"/>
        </w:rPr>
        <w:t>сти, путем передачи государственного</w:t>
      </w:r>
      <w:proofErr w:type="gramEnd"/>
      <w:r w:rsidR="00084942" w:rsidRPr="00A66F29">
        <w:rPr>
          <w:rFonts w:ascii="Times New Roman" w:hAnsi="Times New Roman" w:cs="Times New Roman"/>
          <w:sz w:val="28"/>
          <w:szCs w:val="28"/>
        </w:rPr>
        <w:t xml:space="preserve"> или муниципального имущества, иных объектов гражданских прав либо путем предоставления имущ</w:t>
      </w:r>
      <w:r w:rsidR="00084942" w:rsidRPr="00A66F29">
        <w:rPr>
          <w:rFonts w:ascii="Times New Roman" w:hAnsi="Times New Roman" w:cs="Times New Roman"/>
          <w:sz w:val="28"/>
          <w:szCs w:val="28"/>
        </w:rPr>
        <w:t>е</w:t>
      </w:r>
      <w:r w:rsidR="00084942" w:rsidRPr="00A66F29">
        <w:rPr>
          <w:rFonts w:ascii="Times New Roman" w:hAnsi="Times New Roman" w:cs="Times New Roman"/>
          <w:sz w:val="28"/>
          <w:szCs w:val="28"/>
        </w:rPr>
        <w:t>ственных льгот.</w:t>
      </w:r>
    </w:p>
    <w:p w:rsidR="00084942" w:rsidRPr="00A66F29" w:rsidRDefault="00084942" w:rsidP="000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29">
        <w:rPr>
          <w:rFonts w:ascii="Times New Roman" w:hAnsi="Times New Roman" w:cs="Times New Roman"/>
          <w:sz w:val="28"/>
          <w:szCs w:val="28"/>
        </w:rPr>
        <w:lastRenderedPageBreak/>
        <w:t>Учитывая, что в качестве преференции может выс</w:t>
      </w:r>
      <w:r w:rsidR="00B11082" w:rsidRPr="00A66F29">
        <w:rPr>
          <w:rFonts w:ascii="Times New Roman" w:hAnsi="Times New Roman" w:cs="Times New Roman"/>
          <w:sz w:val="28"/>
          <w:szCs w:val="28"/>
        </w:rPr>
        <w:t>тупать имущество, то предоставление  имущества в аренду без торгов</w:t>
      </w:r>
      <w:r w:rsidRPr="00A66F29">
        <w:rPr>
          <w:rFonts w:ascii="Times New Roman" w:hAnsi="Times New Roman" w:cs="Times New Roman"/>
          <w:sz w:val="28"/>
          <w:szCs w:val="28"/>
        </w:rPr>
        <w:t xml:space="preserve"> может быть признано преференцией.</w:t>
      </w:r>
    </w:p>
    <w:p w:rsidR="00084942" w:rsidRPr="00A66F29" w:rsidRDefault="00084942" w:rsidP="00392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29">
        <w:rPr>
          <w:rFonts w:ascii="Times New Roman" w:hAnsi="Times New Roman" w:cs="Times New Roman"/>
          <w:sz w:val="28"/>
          <w:szCs w:val="28"/>
        </w:rPr>
        <w:t>Статьей 19 Закона о защите конкуренции предусмотрено, что госуда</w:t>
      </w:r>
      <w:r w:rsidRPr="00A66F29">
        <w:rPr>
          <w:rFonts w:ascii="Times New Roman" w:hAnsi="Times New Roman" w:cs="Times New Roman"/>
          <w:sz w:val="28"/>
          <w:szCs w:val="28"/>
        </w:rPr>
        <w:t>р</w:t>
      </w:r>
      <w:r w:rsidRPr="00A66F29">
        <w:rPr>
          <w:rFonts w:ascii="Times New Roman" w:hAnsi="Times New Roman" w:cs="Times New Roman"/>
          <w:sz w:val="28"/>
          <w:szCs w:val="28"/>
        </w:rPr>
        <w:t>ственная или муниципальная преференция предоставляется исключител</w:t>
      </w:r>
      <w:r w:rsidRPr="00A66F29">
        <w:rPr>
          <w:rFonts w:ascii="Times New Roman" w:hAnsi="Times New Roman" w:cs="Times New Roman"/>
          <w:sz w:val="28"/>
          <w:szCs w:val="28"/>
        </w:rPr>
        <w:t>ь</w:t>
      </w:r>
      <w:r w:rsidRPr="00A66F29">
        <w:rPr>
          <w:rFonts w:ascii="Times New Roman" w:hAnsi="Times New Roman" w:cs="Times New Roman"/>
          <w:sz w:val="28"/>
          <w:szCs w:val="28"/>
        </w:rPr>
        <w:t xml:space="preserve">но в целях, предусмотренных </w:t>
      </w:r>
      <w:hyperlink r:id="rId10" w:history="1">
        <w:r w:rsidRPr="00A66F29">
          <w:rPr>
            <w:rFonts w:ascii="Times New Roman" w:hAnsi="Times New Roman" w:cs="Times New Roman"/>
            <w:color w:val="0000FF"/>
            <w:sz w:val="28"/>
            <w:szCs w:val="28"/>
          </w:rPr>
          <w:t>частью 1 данной статьи</w:t>
        </w:r>
      </w:hyperlink>
      <w:r w:rsidRPr="00A66F29">
        <w:rPr>
          <w:rFonts w:ascii="Times New Roman" w:hAnsi="Times New Roman" w:cs="Times New Roman"/>
          <w:sz w:val="28"/>
          <w:szCs w:val="28"/>
        </w:rPr>
        <w:t>, и с предварительн</w:t>
      </w:r>
      <w:r w:rsidRPr="00A66F29">
        <w:rPr>
          <w:rFonts w:ascii="Times New Roman" w:hAnsi="Times New Roman" w:cs="Times New Roman"/>
          <w:sz w:val="28"/>
          <w:szCs w:val="28"/>
        </w:rPr>
        <w:t>о</w:t>
      </w:r>
      <w:r w:rsidRPr="00A66F29">
        <w:rPr>
          <w:rFonts w:ascii="Times New Roman" w:hAnsi="Times New Roman" w:cs="Times New Roman"/>
          <w:sz w:val="28"/>
          <w:szCs w:val="28"/>
        </w:rPr>
        <w:t xml:space="preserve">го согласия в письменной форме антимонопольного органа </w:t>
      </w:r>
      <w:hyperlink r:id="rId11" w:history="1">
        <w:r w:rsidRPr="00A66F29">
          <w:rPr>
            <w:rFonts w:ascii="Times New Roman" w:hAnsi="Times New Roman" w:cs="Times New Roman"/>
            <w:color w:val="0000FF"/>
            <w:sz w:val="28"/>
            <w:szCs w:val="28"/>
          </w:rPr>
          <w:t>(часть 3 статьи 19)</w:t>
        </w:r>
      </w:hyperlink>
      <w:r w:rsidRPr="00A66F29">
        <w:rPr>
          <w:rFonts w:ascii="Times New Roman" w:hAnsi="Times New Roman" w:cs="Times New Roman"/>
          <w:sz w:val="28"/>
          <w:szCs w:val="28"/>
        </w:rPr>
        <w:t>.</w:t>
      </w:r>
    </w:p>
    <w:p w:rsidR="00084942" w:rsidRPr="00A66F29" w:rsidRDefault="00084942" w:rsidP="00392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4942">
        <w:rPr>
          <w:rFonts w:ascii="Times New Roman" w:eastAsia="Calibri" w:hAnsi="Times New Roman" w:cs="Times New Roman"/>
          <w:sz w:val="28"/>
          <w:szCs w:val="28"/>
        </w:rPr>
        <w:t>В тех случаях, когда требуется проведение торгов, подразумевающих состязательность хозяйствующих субъектов, их не проведение, за искл</w:t>
      </w:r>
      <w:r w:rsidRPr="00084942">
        <w:rPr>
          <w:rFonts w:ascii="Times New Roman" w:eastAsia="Calibri" w:hAnsi="Times New Roman" w:cs="Times New Roman"/>
          <w:sz w:val="28"/>
          <w:szCs w:val="28"/>
        </w:rPr>
        <w:t>ю</w:t>
      </w:r>
      <w:r w:rsidRPr="00084942">
        <w:rPr>
          <w:rFonts w:ascii="Times New Roman" w:eastAsia="Calibri" w:hAnsi="Times New Roman" w:cs="Times New Roman"/>
          <w:sz w:val="28"/>
          <w:szCs w:val="28"/>
        </w:rPr>
        <w:t>чением случаев, допускаемых законом, не может не влиять на конкуре</w:t>
      </w:r>
      <w:r w:rsidRPr="00084942">
        <w:rPr>
          <w:rFonts w:ascii="Times New Roman" w:eastAsia="Calibri" w:hAnsi="Times New Roman" w:cs="Times New Roman"/>
          <w:sz w:val="28"/>
          <w:szCs w:val="28"/>
        </w:rPr>
        <w:t>н</w:t>
      </w: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цию, поскольку лишь  при публичном объявлении торгов в установленном порядке могут быть выявлены потенциальные желающие получить </w:t>
      </w:r>
      <w:r w:rsidR="007E2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942">
        <w:rPr>
          <w:rFonts w:ascii="Times New Roman" w:eastAsia="Calibri" w:hAnsi="Times New Roman" w:cs="Times New Roman"/>
          <w:sz w:val="28"/>
          <w:szCs w:val="28"/>
        </w:rPr>
        <w:t>доступ к соответствующему товарному рынку либо права ведения деятельности на нем.</w:t>
      </w:r>
      <w:proofErr w:type="gramEnd"/>
    </w:p>
    <w:p w:rsidR="00B11082" w:rsidRPr="00084942" w:rsidRDefault="00B11082" w:rsidP="00392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29">
        <w:rPr>
          <w:rFonts w:ascii="Times New Roman" w:eastAsia="Calibri" w:hAnsi="Times New Roman" w:cs="Times New Roman"/>
          <w:sz w:val="28"/>
          <w:szCs w:val="28"/>
        </w:rPr>
        <w:t>Согласно протоколу рассмотрения  заявок  на участие  в аукционе на право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заключения договоров аренды муниципального имущества от  07 мая 2013 г.  в аукционе приняли участие три хозяйствующих субъекта: ООО «Лето-Сервис», МУП «Городок», ООО «</w:t>
      </w:r>
      <w:proofErr w:type="spellStart"/>
      <w:r w:rsidR="00212BEA" w:rsidRPr="00A66F29"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 w:rsidR="00212BEA" w:rsidRPr="00A66F29">
        <w:rPr>
          <w:rFonts w:ascii="Times New Roman" w:eastAsia="Calibri" w:hAnsi="Times New Roman" w:cs="Times New Roman"/>
          <w:sz w:val="28"/>
          <w:szCs w:val="28"/>
        </w:rPr>
        <w:t>», ООО «В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о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доканал»,  что позволяет сделать вывод о наличии конкуренции на рынке  водоснабжения и водоотведения на территории Мариинско-Посадского района Чувашской Республики.</w:t>
      </w:r>
    </w:p>
    <w:p w:rsidR="00084942" w:rsidRPr="00084942" w:rsidRDefault="00392611" w:rsidP="00392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2BEA" w:rsidRPr="00A66F29">
        <w:rPr>
          <w:rFonts w:ascii="Times New Roman" w:eastAsia="Calibri" w:hAnsi="Times New Roman" w:cs="Times New Roman"/>
          <w:sz w:val="28"/>
          <w:szCs w:val="28"/>
        </w:rPr>
        <w:t>Марпосадского</w:t>
      </w:r>
      <w:proofErr w:type="spellEnd"/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предоставив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МУП «Городок» 13 объектов водоснабжения и </w:t>
      </w:r>
      <w:r w:rsidR="007E2A6B">
        <w:rPr>
          <w:rFonts w:ascii="Times New Roman" w:eastAsia="Calibri" w:hAnsi="Times New Roman" w:cs="Times New Roman"/>
          <w:sz w:val="28"/>
          <w:szCs w:val="28"/>
        </w:rPr>
        <w:t>вод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о</w:t>
      </w:r>
      <w:r w:rsidR="007E2A6B">
        <w:rPr>
          <w:rFonts w:ascii="Times New Roman" w:eastAsia="Calibri" w:hAnsi="Times New Roman" w:cs="Times New Roman"/>
          <w:sz w:val="28"/>
          <w:szCs w:val="28"/>
        </w:rPr>
        <w:t>о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твед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е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ния</w:t>
      </w:r>
      <w:r w:rsidR="007E2A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являющихся муниципальной собственностью, 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без проведения аукц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и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она на право заключения договора аренды в нарушение норм 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71C15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7 статьи 15 Закона о защите конкуренции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, не обеспечила конкуренцию и равный доступ организаций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 действующих на рынке водоснабжения и в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>о</w:t>
      </w:r>
      <w:r w:rsidR="00212BEA" w:rsidRPr="00A66F29">
        <w:rPr>
          <w:rFonts w:ascii="Times New Roman" w:eastAsia="Calibri" w:hAnsi="Times New Roman" w:cs="Times New Roman"/>
          <w:sz w:val="28"/>
          <w:szCs w:val="28"/>
        </w:rPr>
        <w:t xml:space="preserve">доотведения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к получению права на 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 xml:space="preserve"> заключение договора аренды муниц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>и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>пального имущества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, что противоречит требованиям</w:t>
      </w:r>
      <w:proofErr w:type="gramEnd"/>
      <w:r w:rsidR="00084942" w:rsidRPr="00084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71C15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части 1 ст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а</w:t>
      </w:r>
      <w:r w:rsidR="00084942" w:rsidRPr="00084942">
        <w:rPr>
          <w:rFonts w:ascii="Times New Roman" w:eastAsia="Calibri" w:hAnsi="Times New Roman" w:cs="Times New Roman"/>
          <w:sz w:val="28"/>
          <w:szCs w:val="28"/>
        </w:rPr>
        <w:t>тьи 15 Закона о защите конкуренции.</w:t>
      </w:r>
    </w:p>
    <w:p w:rsidR="00084942" w:rsidRPr="00084942" w:rsidRDefault="00084942" w:rsidP="00392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Данные обстоятельства свидетельствуют о создании Администрацией 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>Мариинско-Посадского городского поселения для МУП «Городок» пр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>е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 xml:space="preserve">имущественных условий и </w:t>
      </w:r>
      <w:r w:rsidRPr="00084942">
        <w:rPr>
          <w:rFonts w:ascii="Times New Roman" w:eastAsia="Calibri" w:hAnsi="Times New Roman" w:cs="Times New Roman"/>
          <w:sz w:val="28"/>
          <w:szCs w:val="28"/>
        </w:rPr>
        <w:t>возможности в одностороннем порядке возде</w:t>
      </w:r>
      <w:r w:rsidRPr="00084942">
        <w:rPr>
          <w:rFonts w:ascii="Times New Roman" w:eastAsia="Calibri" w:hAnsi="Times New Roman" w:cs="Times New Roman"/>
          <w:sz w:val="28"/>
          <w:szCs w:val="28"/>
        </w:rPr>
        <w:t>й</w:t>
      </w: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ствовать на общие условия обращения </w:t>
      </w:r>
      <w:r w:rsidR="00971C15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на рынке 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</w:t>
      </w:r>
      <w:r w:rsidRPr="00084942">
        <w:rPr>
          <w:rFonts w:ascii="Times New Roman" w:eastAsia="Calibri" w:hAnsi="Times New Roman" w:cs="Times New Roman"/>
          <w:sz w:val="28"/>
          <w:szCs w:val="28"/>
        </w:rPr>
        <w:t xml:space="preserve"> и недопущении конкуренции на данном рынке в пределах границ</w:t>
      </w:r>
      <w:r w:rsidR="00AB2189" w:rsidRPr="00A66F29">
        <w:rPr>
          <w:rFonts w:ascii="Times New Roman" w:eastAsia="Calibri" w:hAnsi="Times New Roman" w:cs="Times New Roman"/>
          <w:sz w:val="28"/>
          <w:szCs w:val="28"/>
        </w:rPr>
        <w:t xml:space="preserve"> Мариинско-Посадского района Чувашской Республики.</w:t>
      </w:r>
    </w:p>
    <w:p w:rsidR="009F5605" w:rsidRPr="009F5605" w:rsidRDefault="009F5605" w:rsidP="003926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С учётом  установленных обстоятельств, Комиссия приходит к ит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говому заключению, что в рассматриваемом случае имеются достаточные доказательства квалифицировать действия Администрации </w:t>
      </w:r>
      <w:r w:rsidR="00AB2189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Мариинско-Посадского городского поселения Чувашской Республики 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по  предоста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лени</w:t>
      </w:r>
      <w:r w:rsidR="00971C1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AB2189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имущества ( </w:t>
      </w:r>
      <w:r w:rsidR="00971C1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ртезианская скважина, водонапорная  башня и водонапорные сети 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г.М.Посад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proofErr w:type="gram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овинская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; водонапорная ба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  артезианская  скважина и водопроводные сети 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ул.Солнечная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;  артез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анская скважина, водонапорная башня 1979 г. постройки  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г.М.Посад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;  а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тезианская  скважина,  водонапорная башня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водопроводные сети 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proofErr w:type="gram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енделеева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артезианская скважина рядом с насосной станцией 1965 г. постройки;  артезианская скважина 180 м. от эл. 1977 г. постройки; 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кантаж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1979 г. постройки;  водопроводные сети  1952-2011 г. постройки;  артез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анская скважина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ул.Курчатова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артезианская скважина с водонапорной башней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ул.Менделеева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Комидекс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очистных сооружений ул.1-Денисово,50; насосная станция </w:t>
      </w:r>
      <w:proofErr w:type="spell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proofErr w:type="gramStart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олжская</w:t>
      </w:r>
      <w:proofErr w:type="spellEnd"/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, Канализационные сети 1975-1986 г. п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стройки.) 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2A6B">
        <w:rPr>
          <w:rFonts w:ascii="Times New Roman" w:eastAsia="Calibri" w:hAnsi="Times New Roman" w:cs="Times New Roman"/>
          <w:color w:val="000000"/>
          <w:sz w:val="28"/>
          <w:szCs w:val="28"/>
        </w:rPr>
        <w:t>как предоставление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1E2C" w:rsidRPr="00A66F29">
        <w:rPr>
          <w:rFonts w:ascii="Times New Roman" w:eastAsia="Calibri" w:hAnsi="Times New Roman" w:cs="Times New Roman"/>
          <w:color w:val="000000"/>
          <w:sz w:val="28"/>
          <w:szCs w:val="28"/>
        </w:rPr>
        <w:t>МУП «Городок»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префере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>ции</w:t>
      </w:r>
      <w:r w:rsidR="007E2A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71C15">
        <w:rPr>
          <w:rFonts w:ascii="Times New Roman" w:eastAsia="Calibri" w:hAnsi="Times New Roman" w:cs="Times New Roman"/>
          <w:color w:val="000000"/>
          <w:sz w:val="28"/>
          <w:szCs w:val="28"/>
        </w:rPr>
        <w:t>в нарушение порядка, установленного главой 5 Закона о защите ко</w:t>
      </w:r>
      <w:r w:rsidR="00971C15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71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куренции, </w:t>
      </w:r>
      <w:r w:rsidR="007E2A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является 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</w:t>
      </w:r>
      <w:r w:rsidR="007E2A6B">
        <w:rPr>
          <w:rFonts w:ascii="Times New Roman" w:eastAsia="Calibri" w:hAnsi="Times New Roman" w:cs="Times New Roman"/>
          <w:color w:val="000000"/>
          <w:sz w:val="28"/>
          <w:szCs w:val="28"/>
        </w:rPr>
        <w:t>ением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</w:t>
      </w:r>
      <w:r w:rsidR="007E2A6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F5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 части 1 статьи 15 Закона о защите конкуренции.</w:t>
      </w:r>
    </w:p>
    <w:p w:rsidR="009F5605" w:rsidRPr="009F5605" w:rsidRDefault="009F5605" w:rsidP="009F560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05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пунктом 5 части 1 статьи 49 Закона о защите ко</w:t>
      </w:r>
      <w:r w:rsidRPr="009F5605">
        <w:rPr>
          <w:rFonts w:ascii="Times New Roman" w:eastAsia="Calibri" w:hAnsi="Times New Roman" w:cs="Times New Roman"/>
          <w:sz w:val="28"/>
          <w:szCs w:val="28"/>
        </w:rPr>
        <w:t>н</w:t>
      </w:r>
      <w:r w:rsidRPr="009F5605">
        <w:rPr>
          <w:rFonts w:ascii="Times New Roman" w:eastAsia="Calibri" w:hAnsi="Times New Roman" w:cs="Times New Roman"/>
          <w:sz w:val="28"/>
          <w:szCs w:val="28"/>
        </w:rPr>
        <w:t xml:space="preserve">куренции  комиссия при принятии </w:t>
      </w:r>
      <w:hyperlink r:id="rId12" w:history="1">
        <w:r w:rsidRPr="00A66F2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решения</w:t>
        </w:r>
      </w:hyperlink>
      <w:r w:rsidRPr="009F5605">
        <w:rPr>
          <w:rFonts w:ascii="Times New Roman" w:eastAsia="Calibri" w:hAnsi="Times New Roman" w:cs="Times New Roman"/>
          <w:sz w:val="28"/>
          <w:szCs w:val="28"/>
        </w:rPr>
        <w:t xml:space="preserve"> по делу о нарушении антим</w:t>
      </w:r>
      <w:r w:rsidRPr="009F5605">
        <w:rPr>
          <w:rFonts w:ascii="Times New Roman" w:eastAsia="Calibri" w:hAnsi="Times New Roman" w:cs="Times New Roman"/>
          <w:sz w:val="28"/>
          <w:szCs w:val="28"/>
        </w:rPr>
        <w:t>о</w:t>
      </w:r>
      <w:r w:rsidRPr="009F5605">
        <w:rPr>
          <w:rFonts w:ascii="Times New Roman" w:eastAsia="Calibri" w:hAnsi="Times New Roman" w:cs="Times New Roman"/>
          <w:sz w:val="28"/>
          <w:szCs w:val="28"/>
        </w:rPr>
        <w:t>нопольного законодательства разрешает вопрос о выдаче предписаний и об их содержании, а также о необходимости осуществления других действий, направленных на устранение и (или) предотвращение нарушения антим</w:t>
      </w:r>
      <w:r w:rsidRPr="009F5605">
        <w:rPr>
          <w:rFonts w:ascii="Times New Roman" w:eastAsia="Calibri" w:hAnsi="Times New Roman" w:cs="Times New Roman"/>
          <w:sz w:val="28"/>
          <w:szCs w:val="28"/>
        </w:rPr>
        <w:t>о</w:t>
      </w:r>
      <w:r w:rsidRPr="009F5605">
        <w:rPr>
          <w:rFonts w:ascii="Times New Roman" w:eastAsia="Calibri" w:hAnsi="Times New Roman" w:cs="Times New Roman"/>
          <w:sz w:val="28"/>
          <w:szCs w:val="28"/>
        </w:rPr>
        <w:t>нопольного законодательства.</w:t>
      </w:r>
    </w:p>
    <w:p w:rsidR="009F5605" w:rsidRPr="009F5605" w:rsidRDefault="009F5605" w:rsidP="009F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21 Закона о защите конкуренции в случае, если при осуществлении контроля за предоставлением и использованием муниц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преференции антимонопольный орган в порядке, установленном федеральным антимонопольным органом, установит факты предоставл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преференций в нарушение порядка, установленного </w:t>
      </w:r>
      <w:hyperlink r:id="rId13" w:history="1">
        <w:r w:rsidRPr="009F560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20</w:t>
        </w:r>
      </w:hyperlink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конкуренции, или несоответствие ее использования заявленным в заявлении целям, антимонопольный орган выдает хозяйствующему суб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екту, которому предоставлена такая преференция, органам местного</w:t>
      </w:r>
      <w:proofErr w:type="gramEnd"/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иным осуществляющим функции указанных органов органам или организациям, предоставившим такую преференцию, предписание о принятии мер по возврату имущества, иных объектов гражданских прав при условии, что муниципальная преференция была предоставлена путем передачи муниципального имущества, иных объектов гражданских прав.</w:t>
      </w:r>
    </w:p>
    <w:p w:rsidR="00971C15" w:rsidRDefault="00663452" w:rsidP="009F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4 статьи  19 Закона о защите конкуренции, закрепление  государственного или муниципального имущества за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субъектами на праве  хозяйственного ведения  или операти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управления  не является  государственной  или муниципальной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ференцией.</w:t>
      </w:r>
      <w:r w:rsidR="0097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05" w:rsidRPr="009F5605" w:rsidRDefault="00890BF8" w:rsidP="009F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 договор доверительного управления  имуществом  от 17.06.2013  по соглашению сторон 02 сентября 2013 г.  расторгнут, а по 10 объектам водоснабжения и </w:t>
      </w:r>
      <w:proofErr w:type="gramStart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proofErr w:type="gramEnd"/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переданных в аренду  с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 №1 к акту приема-передачи муниципального имущ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от 05.06.2013 (Акт приема передачи муниципального имущества п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реданного в аренду по договору аренды от 17 мая 2013 г.) без проведения торгов, 30 сентября 2013 г. заключен договор оперативного управления с ООО «М</w:t>
      </w:r>
      <w:r w:rsidR="007E2A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«Городок»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приходит к выводу о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ходимости выдачи Администрации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</w:t>
      </w:r>
      <w:r w:rsidR="0066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иинско-Посадского </w:t>
      </w:r>
      <w:r w:rsidRPr="00A6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района 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 предп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605" w:rsidRPr="009F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о прекращении нарушения антимонопольного законодательства.</w:t>
      </w:r>
    </w:p>
    <w:p w:rsidR="00A66F29" w:rsidRPr="00A66F29" w:rsidRDefault="00392611" w:rsidP="00A6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6F29" w:rsidRPr="00A66F29">
        <w:rPr>
          <w:rFonts w:ascii="Times New Roman" w:eastAsia="Times New Roman" w:hAnsi="Times New Roman" w:cs="Times New Roman"/>
          <w:sz w:val="28"/>
          <w:szCs w:val="28"/>
        </w:rPr>
        <w:t>уководствуясь статьей 23, частью 1 статьи 39, частями 1-3 статьи 41, статьей 49 Федерального закона от 26.07.2006 № 135-ФЗ «О защите конкуренции»,  Комиссия,</w:t>
      </w:r>
    </w:p>
    <w:p w:rsidR="00A66F29" w:rsidRPr="00A66F29" w:rsidRDefault="00A66F29" w:rsidP="00A6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F29" w:rsidRPr="00A66F29" w:rsidRDefault="00A66F29" w:rsidP="00A6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A66F29" w:rsidRPr="00A66F29" w:rsidRDefault="00A66F29" w:rsidP="00A6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29" w:rsidRPr="00A66F29" w:rsidRDefault="00A66F29" w:rsidP="00A66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sz w:val="28"/>
          <w:szCs w:val="28"/>
        </w:rPr>
        <w:t>1.Признать в действиях администрации Мариинско-Посадского г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родского поселения Мариинско-Посадского района  Чувашской Республ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ки нарушение       пункта 7 части 1  статьи 15   Федерального закона от 26.07.2006 № 135-ФЗ «О защите конкуренции».</w:t>
      </w:r>
    </w:p>
    <w:p w:rsidR="00A66F29" w:rsidRPr="00A66F29" w:rsidRDefault="00A66F29" w:rsidP="00A66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29">
        <w:rPr>
          <w:rFonts w:ascii="Times New Roman" w:eastAsia="Times New Roman" w:hAnsi="Times New Roman" w:cs="Times New Roman"/>
          <w:sz w:val="28"/>
          <w:szCs w:val="28"/>
        </w:rPr>
        <w:t>2. Признать в действиях администрации Мариинско-Посадского г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родского поселения Мариинско-Посадского района  Чувашской Республ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6F29">
        <w:rPr>
          <w:rFonts w:ascii="Times New Roman" w:eastAsia="Times New Roman" w:hAnsi="Times New Roman" w:cs="Times New Roman"/>
          <w:sz w:val="28"/>
          <w:szCs w:val="28"/>
        </w:rPr>
        <w:t>ки нарушение   части 1 статьи 17.1     Федерального закона от 26.07.2006 № 135-ФЗ «О защите конкуренции».</w:t>
      </w:r>
    </w:p>
    <w:p w:rsidR="00A66F29" w:rsidRPr="00A66F29" w:rsidRDefault="00A66F29" w:rsidP="00A66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29" w:rsidRPr="00A66F29" w:rsidRDefault="00A66F29" w:rsidP="00A66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29" w:rsidRPr="00A66F29" w:rsidRDefault="00A66F29" w:rsidP="00A66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29" w:rsidRPr="00A66F29" w:rsidRDefault="00583D3C" w:rsidP="003926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«…»</w:t>
      </w:r>
      <w:bookmarkStart w:id="1" w:name="_GoBack"/>
      <w:bookmarkEnd w:id="1"/>
    </w:p>
    <w:p w:rsidR="00A66F29" w:rsidRPr="00A66F29" w:rsidRDefault="00A66F29" w:rsidP="00A66F29">
      <w:pPr>
        <w:rPr>
          <w:rFonts w:ascii="Times New Roman" w:hAnsi="Times New Roman" w:cs="Times New Roman"/>
          <w:sz w:val="28"/>
          <w:szCs w:val="28"/>
        </w:rPr>
      </w:pPr>
    </w:p>
    <w:p w:rsidR="00A66F29" w:rsidRDefault="00A66F29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29" w:rsidRDefault="00A66F29" w:rsidP="00E8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BB" w:rsidRPr="00E87ABB" w:rsidRDefault="00E87ABB" w:rsidP="00E87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E87ABB" w:rsidRPr="00E87ABB" w:rsidRDefault="00E87ABB" w:rsidP="00E87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7ABB" w:rsidRPr="00E87ABB" w:rsidRDefault="00E87ABB" w:rsidP="00E87A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5B0" w:rsidRDefault="002E55B0"/>
    <w:sectPr w:rsidR="002E55B0" w:rsidSect="00A46E39">
      <w:footerReference w:type="even" r:id="rId14"/>
      <w:footerReference w:type="default" r:id="rId15"/>
      <w:pgSz w:w="11906" w:h="16838"/>
      <w:pgMar w:top="1134" w:right="1134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24" w:rsidRDefault="00792A24">
      <w:pPr>
        <w:spacing w:after="0" w:line="240" w:lineRule="auto"/>
      </w:pPr>
      <w:r>
        <w:separator/>
      </w:r>
    </w:p>
  </w:endnote>
  <w:endnote w:type="continuationSeparator" w:id="0">
    <w:p w:rsidR="00792A24" w:rsidRDefault="0079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39" w:rsidRDefault="003D6502" w:rsidP="001369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E39" w:rsidRDefault="00792A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39" w:rsidRDefault="003D6502" w:rsidP="001369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D3C">
      <w:rPr>
        <w:rStyle w:val="a5"/>
        <w:noProof/>
      </w:rPr>
      <w:t>8</w:t>
    </w:r>
    <w:r>
      <w:rPr>
        <w:rStyle w:val="a5"/>
      </w:rPr>
      <w:fldChar w:fldCharType="end"/>
    </w:r>
  </w:p>
  <w:p w:rsidR="00A46E39" w:rsidRDefault="00792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24" w:rsidRDefault="00792A24">
      <w:pPr>
        <w:spacing w:after="0" w:line="240" w:lineRule="auto"/>
      </w:pPr>
      <w:r>
        <w:separator/>
      </w:r>
    </w:p>
  </w:footnote>
  <w:footnote w:type="continuationSeparator" w:id="0">
    <w:p w:rsidR="00792A24" w:rsidRDefault="0079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94D"/>
    <w:multiLevelType w:val="hybridMultilevel"/>
    <w:tmpl w:val="4B3A5F06"/>
    <w:lvl w:ilvl="0" w:tplc="D108CC9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B"/>
    <w:rsid w:val="00084942"/>
    <w:rsid w:val="00212BEA"/>
    <w:rsid w:val="002E55B0"/>
    <w:rsid w:val="00375ADE"/>
    <w:rsid w:val="00392611"/>
    <w:rsid w:val="003D6502"/>
    <w:rsid w:val="00491E2C"/>
    <w:rsid w:val="00583D3C"/>
    <w:rsid w:val="005D0C77"/>
    <w:rsid w:val="00663452"/>
    <w:rsid w:val="00792A24"/>
    <w:rsid w:val="007E2A6B"/>
    <w:rsid w:val="00890BF8"/>
    <w:rsid w:val="00956540"/>
    <w:rsid w:val="00971C15"/>
    <w:rsid w:val="009F1EA2"/>
    <w:rsid w:val="009F5605"/>
    <w:rsid w:val="00A46150"/>
    <w:rsid w:val="00A66F29"/>
    <w:rsid w:val="00AB2189"/>
    <w:rsid w:val="00B11082"/>
    <w:rsid w:val="00BB0947"/>
    <w:rsid w:val="00D70437"/>
    <w:rsid w:val="00E87ABB"/>
    <w:rsid w:val="00FB0A7B"/>
    <w:rsid w:val="00FB6A29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7ABB"/>
  </w:style>
  <w:style w:type="paragraph" w:customStyle="1" w:styleId="ConsPlusNormal">
    <w:name w:val="ConsPlusNormal"/>
    <w:rsid w:val="009F1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0849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7ABB"/>
  </w:style>
  <w:style w:type="paragraph" w:customStyle="1" w:styleId="ConsPlusNormal">
    <w:name w:val="ConsPlusNormal"/>
    <w:rsid w:val="009F1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"/>
    <w:basedOn w:val="a"/>
    <w:rsid w:val="000849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620D56CFA3AAAC37A58D25F0559A8ADD3571E8F52c3Z2K" TargetMode="External"/><Relationship Id="rId13" Type="http://schemas.openxmlformats.org/officeDocument/2006/relationships/hyperlink" Target="consultantplus://offline/ref=160FB0CBE2CA91DBA207A133416DB6D840C853D80E040B6F200084378461CFEE3F72A999V1k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0422;fld=134;dst=1000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669CB0AAA37AF561F8E3501B20C7B361B6F74DA06E4032AC8EE673534FA40E2E2A344g0w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73669CB0AAA37AF561F8E3501B20C7B361B6F74DA06E4032AC8EE673534FA40E2E2A34Ag0w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669CB0AAA37AF561F8E3501B20C7B361B6F74DA06E4032AC8EE673534FA40E2E2A3g4wF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2014-01-17T10:17:00Z</dcterms:created>
  <dcterms:modified xsi:type="dcterms:W3CDTF">2014-01-20T06:06:00Z</dcterms:modified>
</cp:coreProperties>
</file>