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Дело №10-К-2013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eastAsia="Times New Roman" w:cs="Calibri"/>
          <w:lang w:eastAsia="ru-RU"/>
        </w:rPr>
        <w:tab/>
      </w:r>
      <w:r>
        <w:rPr>
          <w:rFonts w:eastAsia="Times New Roman" w:cs="Calibri"/>
          <w:sz w:val="27"/>
          <w:szCs w:val="27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января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5D2163" w:rsidRDefault="005D2163" w:rsidP="005D2163">
      <w:pPr>
        <w:pStyle w:val="Standard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31 января 2013 года.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04 февраля 2013 года.</w:t>
      </w:r>
    </w:p>
    <w:p w:rsidR="005D2163" w:rsidRDefault="005D2163" w:rsidP="005D2163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D2163" w:rsidRDefault="005D2163" w:rsidP="005D2163">
      <w:pPr>
        <w:pStyle w:val="Standard"/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- Чувашии по контролю в сфере размещения заказов, созданная на основании приказов Чувашского УФАС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01.08.2012 № 300,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составе:</w:t>
      </w:r>
      <w:proofErr w:type="gramEnd"/>
    </w:p>
    <w:p w:rsidR="005D2163" w:rsidRDefault="005D2163" w:rsidP="005D2163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ind w:left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Н.Ю.- заместителя руководителя-начальника отдела</w:t>
      </w:r>
    </w:p>
    <w:p w:rsidR="005D2163" w:rsidRDefault="005D2163" w:rsidP="005D2163">
      <w:pPr>
        <w:pStyle w:val="Standard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товарных рынков  (председатель комиссии);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Г.В.    -        начальника  отдела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размещением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заказов  и торгов Чувашского УФАС  России  </w:t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(член   комиссии);</w:t>
      </w:r>
    </w:p>
    <w:p w:rsidR="005D2163" w:rsidRDefault="005D2163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Л.В.-        специалиста-эксперта отдела контроля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5D2163" w:rsidRDefault="005D2163" w:rsidP="005D2163">
      <w:pPr>
        <w:pStyle w:val="Standard"/>
        <w:tabs>
          <w:tab w:val="left" w:pos="3540"/>
          <w:tab w:val="left" w:pos="4249"/>
        </w:tabs>
        <w:spacing w:after="0" w:line="240" w:lineRule="auto"/>
        <w:ind w:left="70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размещением заказов и торгов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</w:t>
      </w:r>
    </w:p>
    <w:p w:rsidR="005D2163" w:rsidRDefault="005D2163" w:rsidP="005D2163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(член комиссии)</w:t>
      </w:r>
    </w:p>
    <w:p w:rsidR="005D2163" w:rsidRDefault="005D2163" w:rsidP="005D2163">
      <w:pPr>
        <w:pStyle w:val="Standard"/>
        <w:tabs>
          <w:tab w:val="left" w:pos="2835"/>
          <w:tab w:val="left" w:pos="354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представителей: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Ольги  Николаевны  по доверенности  №5  от 30.01.2013 года;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заказчика БУ «Республиканский клинический онкологический диспансер»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Чувашии: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 Наталии Валерьевны по доверенности  от 29.01.2013 года,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Никифоровой Наталии Валерьевны по доверенности от 30.01.2013 года,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Государственная служба  Чувашской Республики по конкурентной политике  и тарифам: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Елисеевой Алины Юрьевны - заместителя  руководителя  по доверенности  от 09.01.2013 №1,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Осиповой Ирины Владимировны – заведующего сектором  организации и проведения совместных торгов по доверенности  от 28.01.2013 №12,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жалобу общества с ограниченной ответственностью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общество) о  нарушении  аукционной комиссией уполномоченного органа Государственная служба Чувашской Республики по конкурентной политике и тарифам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УСТАНОВИЛА:</w:t>
      </w:r>
    </w:p>
    <w:p w:rsidR="005D2163" w:rsidRDefault="005D2163" w:rsidP="005D216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Чувашской Республике - Чувашии  25.01.2013 года поступила жалоба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на действия аукционной комисси</w:t>
      </w:r>
      <w:r w:rsidR="001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 Государственная служба Чувашской Республики по конкурентной политике и тарифам 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укционная комиссия)  при проведении открытого аукциона в электронной форме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на право </w:t>
      </w:r>
      <w:r>
        <w:rPr>
          <w:rFonts w:ascii="Times New Roman" w:hAnsi="Times New Roman"/>
          <w:sz w:val="28"/>
          <w:szCs w:val="28"/>
        </w:rPr>
        <w:t xml:space="preserve">заключения  гражданско-правового договора поставку и монтаж медицинского оборудования (автоматического биохимического анализатора)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0115200001112002052).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жалобе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(участник под №2)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аукционной комиссии в связи с отказом  в допуске в открытом аукционе в электронной форме из-за представления недостоверных сведений  по  п.п.2.15, 2.17, 2.19, 2.20,  2.34  технической части документации об аукционе.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Чувашского УФАС России по контролю в сфере размещения заказов  по данному аукциону  ранее  рассмотрена жалоба ООО «Медицинские Инвестиции» на действия аукционной комиссии  уполномоченного органа,  по результатам которой  заявка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C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FC1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технической части документации об аукционе в электронной форме,  в частности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2.7, 2.8, 2.11, 2.12,  2.14, 2.17, 2.19, 2.20 (дело №237-К-2012 от 26.12.2012года).</w:t>
      </w:r>
      <w:proofErr w:type="gramEnd"/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п. 2.15 технической  части  заказчиком затребовано «максимальное количество  реагентов на тест не менее 3». Общество предлагает  по данной позиции  - 3, поскольку  согласно  руководству по установке в предлагаемом  анализаторе А-25  используются рабочие реагенты, приготовленные из двух или трех реагентов, что  соответствует требованию заказчика. Следовательно,  по п.2.15 технической части документации об аукционе в электронной форме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обществу  отказали в допуске к участию в аукционе в электронной форме необоснованно.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п.2.34  технической части заказчик требует  наличие встроенного холодильника для хранения  проб  и реагентов не  менее 30</w:t>
      </w:r>
      <w:r w:rsidR="0010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</w:t>
      </w:r>
      <w:r w:rsidR="001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Предлагаемый</w:t>
      </w:r>
      <w:r w:rsidRPr="004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биохимический анализатор А25 оснащен холодильником с возможностью  хранения реагентов и биоматериалов, что отражено в письме  представительства  «БИОСИСТЕМС С.А»  от 23.01.2013  №004-23-01-13, направленному обществу на его запрос.  Сведения о наличии холодильника  на 30 отсеков указаны на странице 18  главы 1.3 «Основные узлы и агрегаты».  Следовательно, по  данной позиции  общество представило достоверные сведения и,  его заявка не подлежала отклонению.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Представители уполномоченного органа и заказчика не согласны с доводами заявителя и сообщают, чт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связи с представлением недостоверных сведений по позициям  2.15, 2.17, 2.19,  2.20,  2.34 технической части документации об аукционе в электронной форме обоснованно отказано в допуске к участию в аукционе. В подтверждение  сказанному приводят ответ  официального представителя производителя «БИОСИСТЕМС С.А.»  (исх. №005 от 29.01.2013 года) на запрос уполномоченного органа по п.п.2.15, 2.17, 2.18, 2.19, 2.20, 2.34, 2.37 технической части документации об аукционе в электронной форме.  В частности по п.2.15   «БИОСИСТЕМС С.А.»  сообщает, что  в анализаторе А-25        можно  запрограммировать      только      2 реагента, составленных из двух или трех   реагентов вручную;  что  холодильник  (п.2.34)  может использоваться  только для реагентов.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заявке по позиции 2.15  сообщает, что  в предлагаемом анализаторе А-25 максимальное количество  реагентов -3, по позиции 2.34 - в холодильнике возможно хранение  проб и реагентов на 30 позиций. Исходя из ответа представителя производителя данного оборудования  сведения, представленные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анализатору А-25 ,   не соответствуют фактическим  параметрам, что является основанием для отказа в допуске к участию в аукционе.</w:t>
      </w:r>
    </w:p>
    <w:p w:rsidR="005D2163" w:rsidRDefault="005D2163" w:rsidP="005D2163">
      <w:pPr>
        <w:pStyle w:val="Standard"/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Изучив представленные документы, заслушав пояснения лиц, участвующих  в рассмотрении дела, Комиссия Чувашского УФАС России по контролю в сфере размещения заказов и торгов приходит к следующему.</w:t>
      </w:r>
    </w:p>
    <w:p w:rsidR="005D2163" w:rsidRDefault="005D2163" w:rsidP="005D2163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является  - БУ «Республиканский клинический онкологический диспансер»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Чувашии.  </w:t>
      </w:r>
    </w:p>
    <w:p w:rsidR="005D2163" w:rsidRDefault="005D2163" w:rsidP="005D2163">
      <w:pPr>
        <w:pStyle w:val="Standard"/>
        <w:spacing w:after="0" w:line="240" w:lineRule="auto"/>
        <w:ind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органом, проводившим открытый аукцион в электронной форме   </w:t>
      </w:r>
      <w:r>
        <w:rPr>
          <w:rFonts w:ascii="Times New Roman" w:eastAsia="Calibri" w:hAnsi="Times New Roman"/>
          <w:sz w:val="28"/>
          <w:szCs w:val="28"/>
        </w:rPr>
        <w:t xml:space="preserve">на право </w:t>
      </w:r>
      <w:r>
        <w:rPr>
          <w:rFonts w:ascii="Times New Roman" w:hAnsi="Times New Roman"/>
          <w:sz w:val="28"/>
          <w:szCs w:val="28"/>
        </w:rPr>
        <w:t>заключения  гражданско-правового договора поставку и монтаж медицинского оборудования автоматического биохимического анализатора),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0115200001112002052) является  Государственная служба  Чувашской Республики по конкурентной политике  и тарифам.</w:t>
      </w:r>
      <w:proofErr w:type="gramEnd"/>
    </w:p>
    <w:p w:rsidR="005D2163" w:rsidRDefault="005D2163" w:rsidP="005D2163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  23.11.2012  года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извещение № 0115200001112002052    о проведении открытого аукциона в электронной форме  на поставку медицинского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оборудования (поставку автоматического биохимического анализатора), с начальной (максимальной)  ценой контракта  963454,27 рублей.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укцион проводился на электронной площадке ОАО «Единая электронная торговая площадка»-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roseltorg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2163" w:rsidRDefault="005D2163" w:rsidP="005D2163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аукцион поданы  шесть заявок под порядковыми номерами  №№ 1,2,3,4,5,6,  четверо из которых допущены к участию в аукционе: №1, №2, №4, №5, что отражено в протоколе рассмотрения первых частей заявок  от 07.12.2012 №1 .</w:t>
      </w:r>
    </w:p>
    <w:p w:rsidR="005D2163" w:rsidRDefault="005D2163" w:rsidP="005D2163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протоколу №2  подведения итогов открытого аукциона от  13 декабря 2012 г. победителем признан  участник №4 (ООО «Объединенная медицинская компания»).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19.12.2012 года в Управление поступила жалоба  ООО «Медицинские инвестиции» на действия аукционной комиссии уполномоченного органа, по результатам рассмотрения которо</w:t>
      </w:r>
      <w:r w:rsidR="00103A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 о нарушении заказчиком части 1 статьи 41.6, части  3.1  статьи 34, пункта 6.1 части 3 статьи  41.6 Закона о размещении заказов, а  аукционной комиссией уполномоченного органа -  пунктов 1, 2 части 4 статьи 41.9 Закона о размещении заказов  (дело №237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К-2012 от 26.12.2012 года),,  которой выдано предписание об устранении выявленных нарушений путем возврата на этап  рассмотрения  первых частей заявок.</w:t>
      </w:r>
      <w:proofErr w:type="gramEnd"/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 внеплановой проверки  установлено, что заявка участника размещения заказа № 2 (ООО «</w:t>
      </w:r>
      <w:proofErr w:type="spellStart"/>
      <w:r w:rsidR="00EE63C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EE6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соответствовала  требованиям, установленным в технической части документации об аукционе в электронной форме, в том числе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2.7, 2.8,  2.11, 2.12, 2.14, </w:t>
      </w:r>
      <w:r w:rsidR="00EE63C8">
        <w:rPr>
          <w:rFonts w:ascii="Times New Roman" w:eastAsia="Times New Roman" w:hAnsi="Times New Roman" w:cs="Times New Roman"/>
          <w:sz w:val="28"/>
          <w:szCs w:val="28"/>
          <w:lang w:eastAsia="ru-RU"/>
        </w:rPr>
        <w:t>2.17, 2.19, 2.20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повторном  рассмотрении первых частей заявок   аукционная комиссия приняла решение об отказе  всех участников размещения заказа, в том числе ООО «</w:t>
      </w:r>
      <w:proofErr w:type="spellStart"/>
      <w:r w:rsidR="00EE63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№2), что отражено в соответствующем протоколе от  22.01.2013 года. 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Обществу отказано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аукционе в электронной форме на 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41.8, части 4 статьи 41.9 Закона о размещении заказов и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«Техническое задание»  технической части документации об аукционе в электронной  форме в связи с представлением недостоверных сведений по поставляемому анализатору А-25, а именно: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п.2.15-недостовреные сведения о максимальном количестве реагентов на тест;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п.2.17- недостоверные сведения о количестве независимых зондов;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п.2.19- недостоверные сведения  о наличии отмывки измерительных кювет на борту;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п.2.20- недостоверные сведения  о наличии  независимых моющих станций для измерительных кювет,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п.2.34- недостоверные сведения о наличии встроенного холодильника для хранения проб.</w:t>
      </w:r>
    </w:p>
    <w:p w:rsidR="00AF3AB3" w:rsidRDefault="005D2163" w:rsidP="005D216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 части 4 статьи  41.9  Закона о размещении заказов у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частник размещения заказа не допускается к участию в открытом аукционе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в электронной форме в случае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сведений, предусмотренных частью 4 статьи 41.8 Закона о размещении заказов или  предоставления недостоверных сведений.</w:t>
      </w:r>
    </w:p>
    <w:p w:rsidR="005D2163" w:rsidRDefault="005D2163" w:rsidP="005D2163">
      <w:pPr>
        <w:pStyle w:val="ConsPlusNormal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spellEnd"/>
      <w:proofErr w:type="gramEnd"/>
      <w:r w:rsidR="00002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ч.4 статьи 41.8 п</w:t>
      </w:r>
      <w:r>
        <w:rPr>
          <w:rFonts w:ascii="Times New Roman" w:hAnsi="Times New Roman" w:cs="Times New Roman"/>
          <w:kern w:val="0"/>
          <w:sz w:val="28"/>
          <w:szCs w:val="28"/>
        </w:rPr>
        <w:t>ервая часть заявки на участие в открытом аукционе в электронной форме при размещении заказа на поставку товара должна содержать конкретные показатели,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знак.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поставляемому медицинскому оборудованию (автоматический  биохимический анализатор) установлены в технической части документации об аукционе в электронной форме.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первой части заявки  предлагает   автоматический анализатор А-25 (производитель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BioSistems</w:t>
      </w:r>
      <w:proofErr w:type="spellEnd"/>
      <w:r w:rsidRPr="0063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3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35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Испания).</w:t>
      </w:r>
    </w:p>
    <w:p w:rsidR="00885FAB" w:rsidRDefault="003D523E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Комиссии Чувашского УФАС России по контролю в сфере размещения заказ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позициям 2.17, 2.19, 2.20 технической части </w:t>
      </w:r>
      <w:r w:rsidR="005A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об аукционе в электронной форме </w:t>
      </w:r>
      <w:r w:rsidR="00E0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</w:t>
      </w:r>
      <w:r w:rsidR="0093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03C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26.12.2012  №237-К-2012</w:t>
      </w:r>
      <w:r w:rsidR="00E03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304" w:rsidRDefault="00E03CD4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жалоб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 w:rsidR="00F733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Комиссия по позициям 2.15, 2.34 технической части приходит к следующему. </w:t>
      </w:r>
    </w:p>
    <w:p w:rsidR="001C7ECD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п.2.15 технической части  затребовано «максимальное  количество реагентов  на тест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3». ООО «</w:t>
      </w:r>
      <w:proofErr w:type="spellStart"/>
      <w:r w:rsidR="00E363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заявке  предлагает -3.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и уполномоченным органом  руководства по использованию  анализатора А-25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mediband</w:t>
      </w:r>
      <w:proofErr w:type="spellEnd"/>
      <w:r w:rsidRPr="00F31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Pr="00B372D3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</w:t>
      </w:r>
      <w:r w:rsidRPr="00B37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следует, что в технических характеристиках  указаны два флакона для реагентов с емкостями  20 и 50мл. 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сведение подтверждает и официальный представитель общества «БИОСИСТЕМС С.А.»</w:t>
      </w:r>
      <w:r w:rsidR="001C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на запрос уполномоченного органа от 29.01.2013 №005, в котором сообщает, что  в анализаторе А-25 можно запрограммировать 2 реагента  (составленных из двух или трех реагентов вручную). 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  представителя заявителя о том,</w:t>
      </w:r>
      <w:r w:rsidR="0097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реагентов, используемы</w:t>
      </w:r>
      <w:r w:rsidR="00FC18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теста  в предлагаемом анализаторе составляет</w:t>
      </w:r>
      <w:proofErr w:type="gramEnd"/>
      <w:r w:rsidR="0097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не принимается в виду того, что  при  составлении технической части документации об аукционе в электронной форме  заказчик  требовал указывать</w:t>
      </w:r>
      <w:r w:rsidR="0097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 реагентов,  находящихся  в составе  анализатора, а не саму возможность приготовления  реагентов по количеству.</w:t>
      </w:r>
    </w:p>
    <w:p w:rsidR="00305FFD" w:rsidRDefault="00FB7C4D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отмечает, что согласно  части  3 статьи 41.7 Закона о размещении заказов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участник размещения заказов вправе  направить через оператора электронной площадки  заказчику запрос о разъяснении  положений документации об аукционе в электронной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7C4D" w:rsidRDefault="00FB7C4D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о разъяснении положений документации об аукционе в электронной форме не обращалось. 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аукционная комиссия уполномоченного органа обоснованно отказал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связи с предоставлением недостоверной информации по п.2.15 технической части документации об аукционе.</w:t>
      </w:r>
    </w:p>
    <w:p w:rsidR="00305FFD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п.2.34  требуется указывать  наличие встроенного холодильника для хранения проб и реагентов не менее 30  позиций.  </w:t>
      </w:r>
    </w:p>
    <w:p w:rsidR="00305FFD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заявке сообщает о наличии холодильника.  </w:t>
      </w:r>
    </w:p>
    <w:p w:rsidR="00D245F8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представленных документов (руководство по использованию, буклет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автоматический анализатор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Random</w:t>
      </w:r>
      <w:r w:rsidRPr="009F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Access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А-25),   в анализаторе А-25 имеется холодильник   на 30 позиций. </w:t>
      </w:r>
    </w:p>
    <w:p w:rsidR="005D2163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из указанных источников следует, что холодильник можно использовать только для хранения  реагентов,  но не для проб и реагентов как требуется в технической части.</w:t>
      </w:r>
    </w:p>
    <w:p w:rsidR="00CA12AB" w:rsidRDefault="005D216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аукционная комиссия уполномоченного органа в связи с предоставлением недостоверной информации по п.2.34 технической части документации об аукционе обоснованно отказала в допуске к участию в аукционе в электронной форме</w:t>
      </w:r>
      <w:r w:rsidR="009F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9F1F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 w:rsidR="009F1F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14" w:rsidRDefault="009F1FE7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в ходе внеплановой проверки  установлено, что по п. 2.18 заказч</w:t>
      </w:r>
      <w:r w:rsidR="00FE6B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требует  </w:t>
      </w:r>
      <w:r w:rsidR="00F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анализаторе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D630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автоматической  промывки  кювет рабочих органов зондов</w:t>
      </w:r>
      <w:r w:rsidR="00FE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5F8" w:rsidRDefault="00AC47B4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</w:t>
      </w:r>
      <w:r w:rsidR="00FE6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присутствует сообщение о наличии автоматической промывки кювет</w:t>
      </w:r>
      <w:r w:rsidR="00B1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предлагаемом анализаторе А-25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 </w:t>
      </w:r>
      <w:r w:rsidR="008164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0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6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6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</w:t>
      </w:r>
      <w:r w:rsidR="008164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</w:t>
      </w:r>
      <w:r w:rsidR="006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анализатора А-25 </w:t>
      </w:r>
      <w:r w:rsidR="00816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что функци</w:t>
      </w:r>
      <w:r w:rsidR="00413D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автоматической промывки</w:t>
      </w:r>
      <w:r w:rsid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кювет </w:t>
      </w:r>
      <w:r w:rsidR="0041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предусмотрена.</w:t>
      </w:r>
      <w:r w:rsid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5F8" w:rsidRDefault="00413D0B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подтверждается также </w:t>
      </w:r>
      <w:r w:rsidR="003A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</w:t>
      </w:r>
      <w:r w:rsidR="00227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изложенным</w:t>
      </w:r>
      <w:r w:rsidR="0079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3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</w:t>
      </w:r>
      <w:r w:rsidR="005E7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5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«БИОСИСТЕМС С.А.» (от 29.01.2013 №005), </w:t>
      </w:r>
      <w:r w:rsidR="007D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</w:t>
      </w:r>
      <w:r w:rsidR="005E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="00C34D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в анализаторе А-25  отсутствует система автоматической про</w:t>
      </w:r>
      <w:r w:rsidR="00C34D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7ED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ывки  кювет</w:t>
      </w:r>
      <w:r w:rsidR="0079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наличии – система автоматической промывки зонда). </w:t>
      </w:r>
      <w:r w:rsidR="002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26" w:rsidRDefault="007972F7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заказчик</w:t>
      </w:r>
      <w:r w:rsidR="00C3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указанные доводы, поск</w:t>
      </w:r>
      <w:r w:rsidR="002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льку  анализатором А-25 пользу</w:t>
      </w:r>
      <w:r w:rsidR="00F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4D4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1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 </w:t>
      </w:r>
      <w:r w:rsidR="000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«Республиканский клинический онкологический диспансер»</w:t>
      </w:r>
      <w:r w:rsidR="00F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нем отсутствует</w:t>
      </w:r>
      <w:r w:rsidR="00FC20E7" w:rsidRPr="00F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автоматической промывки  кювет</w:t>
      </w:r>
      <w:r w:rsidR="000E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926" w:rsidRDefault="000E0903" w:rsidP="005D216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вышеизложенного следует, чт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D4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41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ЛабТех</w:t>
      </w:r>
      <w:proofErr w:type="spellEnd"/>
      <w:r w:rsidR="00D4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пред</w:t>
      </w:r>
      <w:r w:rsidR="00D218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ложило</w:t>
      </w:r>
      <w:r w:rsidR="00D4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 А-25</w:t>
      </w:r>
      <w:r w:rsidR="003A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перечисленным позициям технической части документации об аукционе в электронной форме </w:t>
      </w:r>
      <w:r w:rsidR="00A21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3A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="00A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 сведения</w:t>
      </w:r>
      <w:r w:rsidR="00A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 явилось </w:t>
      </w:r>
      <w:r w:rsidR="00A9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допуске к участию в аукционе </w:t>
      </w:r>
      <w:r w:rsidR="00461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обществу.</w:t>
      </w:r>
    </w:p>
    <w:p w:rsidR="005D2163" w:rsidRDefault="005D2163" w:rsidP="005D2163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нужд»  </w:t>
      </w:r>
    </w:p>
    <w:p w:rsidR="008B5014" w:rsidRDefault="008B5014" w:rsidP="005D2163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163" w:rsidRDefault="005D2163" w:rsidP="008F56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5D2163" w:rsidRDefault="005D2163" w:rsidP="005D216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163" w:rsidRDefault="005D2163" w:rsidP="008F564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Признать жалобу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необоснованной.</w:t>
      </w: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F1" w:rsidRDefault="00445DF1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F1" w:rsidRDefault="00445DF1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7D1BE9" w:rsidRDefault="007D1BE9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7D1BE9" w:rsidRDefault="007D1BE9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</w:p>
    <w:p w:rsidR="00445DF1" w:rsidRDefault="00445DF1" w:rsidP="005D216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163" w:rsidRDefault="005D2163" w:rsidP="005D216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7889" w:rsidRDefault="005D2163" w:rsidP="00174C2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Решение Комиссии Чувашского УФАС России по контролю в сфере размещения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sectPr w:rsidR="00B47889">
      <w:footerReference w:type="default" r:id="rId7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73" w:rsidRDefault="008112C4">
      <w:pPr>
        <w:spacing w:after="0" w:line="240" w:lineRule="auto"/>
      </w:pPr>
      <w:r>
        <w:separator/>
      </w:r>
    </w:p>
  </w:endnote>
  <w:endnote w:type="continuationSeparator" w:id="0">
    <w:p w:rsidR="00310173" w:rsidRDefault="0081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95" w:rsidRDefault="00B4788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1203D">
      <w:rPr>
        <w:noProof/>
      </w:rPr>
      <w:t>7</w:t>
    </w:r>
    <w:r>
      <w:fldChar w:fldCharType="end"/>
    </w:r>
  </w:p>
  <w:p w:rsidR="004E7C95" w:rsidRDefault="00712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73" w:rsidRDefault="008112C4">
      <w:pPr>
        <w:spacing w:after="0" w:line="240" w:lineRule="auto"/>
      </w:pPr>
      <w:r>
        <w:separator/>
      </w:r>
    </w:p>
  </w:footnote>
  <w:footnote w:type="continuationSeparator" w:id="0">
    <w:p w:rsidR="00310173" w:rsidRDefault="0081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25EA6"/>
    <w:rsid w:val="000746A2"/>
    <w:rsid w:val="000809F1"/>
    <w:rsid w:val="00091ECC"/>
    <w:rsid w:val="000E0903"/>
    <w:rsid w:val="00103A34"/>
    <w:rsid w:val="00130692"/>
    <w:rsid w:val="00136D71"/>
    <w:rsid w:val="00174C22"/>
    <w:rsid w:val="001A316D"/>
    <w:rsid w:val="001A4CFB"/>
    <w:rsid w:val="001C5C8C"/>
    <w:rsid w:val="001C7ECD"/>
    <w:rsid w:val="001D4D50"/>
    <w:rsid w:val="001F3047"/>
    <w:rsid w:val="002013C4"/>
    <w:rsid w:val="00222498"/>
    <w:rsid w:val="00227EDF"/>
    <w:rsid w:val="00247248"/>
    <w:rsid w:val="00262159"/>
    <w:rsid w:val="00267ED5"/>
    <w:rsid w:val="00272D17"/>
    <w:rsid w:val="00305FFD"/>
    <w:rsid w:val="00306780"/>
    <w:rsid w:val="00310173"/>
    <w:rsid w:val="003205B6"/>
    <w:rsid w:val="0032519F"/>
    <w:rsid w:val="00327722"/>
    <w:rsid w:val="0037502A"/>
    <w:rsid w:val="00383A2C"/>
    <w:rsid w:val="003A24F1"/>
    <w:rsid w:val="003A79F9"/>
    <w:rsid w:val="003C45E6"/>
    <w:rsid w:val="003D523E"/>
    <w:rsid w:val="003E40DF"/>
    <w:rsid w:val="003F1191"/>
    <w:rsid w:val="0041396D"/>
    <w:rsid w:val="00413D0B"/>
    <w:rsid w:val="00424CB7"/>
    <w:rsid w:val="00445DF1"/>
    <w:rsid w:val="00451C9E"/>
    <w:rsid w:val="004611FB"/>
    <w:rsid w:val="004C15EF"/>
    <w:rsid w:val="004C2544"/>
    <w:rsid w:val="004E149E"/>
    <w:rsid w:val="004F484E"/>
    <w:rsid w:val="00501C3C"/>
    <w:rsid w:val="00502187"/>
    <w:rsid w:val="005061CD"/>
    <w:rsid w:val="00561B82"/>
    <w:rsid w:val="00563AE8"/>
    <w:rsid w:val="00581334"/>
    <w:rsid w:val="00583A21"/>
    <w:rsid w:val="00594216"/>
    <w:rsid w:val="005A4D29"/>
    <w:rsid w:val="005A5662"/>
    <w:rsid w:val="005D2163"/>
    <w:rsid w:val="005E4606"/>
    <w:rsid w:val="005E4C48"/>
    <w:rsid w:val="005E70DA"/>
    <w:rsid w:val="0061592B"/>
    <w:rsid w:val="00626FF7"/>
    <w:rsid w:val="00654926"/>
    <w:rsid w:val="00676A1A"/>
    <w:rsid w:val="006B4349"/>
    <w:rsid w:val="006E2C85"/>
    <w:rsid w:val="00700686"/>
    <w:rsid w:val="00703F2E"/>
    <w:rsid w:val="0071203D"/>
    <w:rsid w:val="0073328A"/>
    <w:rsid w:val="00772DA1"/>
    <w:rsid w:val="007972F7"/>
    <w:rsid w:val="007C7CD6"/>
    <w:rsid w:val="007D1BE9"/>
    <w:rsid w:val="007D55AA"/>
    <w:rsid w:val="007D6BFD"/>
    <w:rsid w:val="008112C4"/>
    <w:rsid w:val="00816482"/>
    <w:rsid w:val="00852961"/>
    <w:rsid w:val="00875B2D"/>
    <w:rsid w:val="0088461D"/>
    <w:rsid w:val="00885FAB"/>
    <w:rsid w:val="00897801"/>
    <w:rsid w:val="008B5014"/>
    <w:rsid w:val="008F5643"/>
    <w:rsid w:val="00933682"/>
    <w:rsid w:val="0093369A"/>
    <w:rsid w:val="009510C5"/>
    <w:rsid w:val="009771F9"/>
    <w:rsid w:val="00995044"/>
    <w:rsid w:val="009A7F96"/>
    <w:rsid w:val="009B3D48"/>
    <w:rsid w:val="009B6795"/>
    <w:rsid w:val="009D0230"/>
    <w:rsid w:val="009D5537"/>
    <w:rsid w:val="009F1218"/>
    <w:rsid w:val="009F1FE7"/>
    <w:rsid w:val="00A06BD4"/>
    <w:rsid w:val="00A159B7"/>
    <w:rsid w:val="00A16F82"/>
    <w:rsid w:val="00A216C3"/>
    <w:rsid w:val="00A408F9"/>
    <w:rsid w:val="00A54AFB"/>
    <w:rsid w:val="00A56955"/>
    <w:rsid w:val="00A67083"/>
    <w:rsid w:val="00A91294"/>
    <w:rsid w:val="00A97EE5"/>
    <w:rsid w:val="00AC47B4"/>
    <w:rsid w:val="00AE7675"/>
    <w:rsid w:val="00AF3AB3"/>
    <w:rsid w:val="00B0243F"/>
    <w:rsid w:val="00B16FE7"/>
    <w:rsid w:val="00B2080D"/>
    <w:rsid w:val="00B22A21"/>
    <w:rsid w:val="00B275C7"/>
    <w:rsid w:val="00B33D91"/>
    <w:rsid w:val="00B47889"/>
    <w:rsid w:val="00B75348"/>
    <w:rsid w:val="00C05838"/>
    <w:rsid w:val="00C05EE4"/>
    <w:rsid w:val="00C11D91"/>
    <w:rsid w:val="00C131B6"/>
    <w:rsid w:val="00C34D42"/>
    <w:rsid w:val="00C62FF4"/>
    <w:rsid w:val="00C636AB"/>
    <w:rsid w:val="00C9214C"/>
    <w:rsid w:val="00CA12AB"/>
    <w:rsid w:val="00CB161F"/>
    <w:rsid w:val="00CB1DF8"/>
    <w:rsid w:val="00CB5EA0"/>
    <w:rsid w:val="00CC0E1A"/>
    <w:rsid w:val="00CE1C3C"/>
    <w:rsid w:val="00CF527B"/>
    <w:rsid w:val="00CF6693"/>
    <w:rsid w:val="00CF79F5"/>
    <w:rsid w:val="00D2180C"/>
    <w:rsid w:val="00D245F8"/>
    <w:rsid w:val="00D27ECC"/>
    <w:rsid w:val="00D41C60"/>
    <w:rsid w:val="00D41F3D"/>
    <w:rsid w:val="00D42AFE"/>
    <w:rsid w:val="00D53583"/>
    <w:rsid w:val="00D53CDF"/>
    <w:rsid w:val="00D630D7"/>
    <w:rsid w:val="00D7679C"/>
    <w:rsid w:val="00D7689D"/>
    <w:rsid w:val="00D80238"/>
    <w:rsid w:val="00DA4AC1"/>
    <w:rsid w:val="00DB140E"/>
    <w:rsid w:val="00DD5649"/>
    <w:rsid w:val="00DD5B27"/>
    <w:rsid w:val="00DF2FBC"/>
    <w:rsid w:val="00E03CD4"/>
    <w:rsid w:val="00E13CC0"/>
    <w:rsid w:val="00E13E6B"/>
    <w:rsid w:val="00E3639E"/>
    <w:rsid w:val="00EA0DEA"/>
    <w:rsid w:val="00EC01D1"/>
    <w:rsid w:val="00ED3946"/>
    <w:rsid w:val="00ED7E99"/>
    <w:rsid w:val="00EE63C8"/>
    <w:rsid w:val="00F12C59"/>
    <w:rsid w:val="00F35572"/>
    <w:rsid w:val="00F40B71"/>
    <w:rsid w:val="00F649DE"/>
    <w:rsid w:val="00F721BE"/>
    <w:rsid w:val="00F73304"/>
    <w:rsid w:val="00F77266"/>
    <w:rsid w:val="00FB7C4D"/>
    <w:rsid w:val="00FC180F"/>
    <w:rsid w:val="00FC20E7"/>
    <w:rsid w:val="00FD18E8"/>
    <w:rsid w:val="00FE451B"/>
    <w:rsid w:val="00FE5789"/>
    <w:rsid w:val="00FE6BAA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53</cp:revision>
  <cp:lastPrinted>2013-02-05T07:40:00Z</cp:lastPrinted>
  <dcterms:created xsi:type="dcterms:W3CDTF">2013-01-31T11:36:00Z</dcterms:created>
  <dcterms:modified xsi:type="dcterms:W3CDTF">2013-02-05T13:27:00Z</dcterms:modified>
</cp:coreProperties>
</file>