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0C" w:rsidRDefault="00DF760C" w:rsidP="00DF760C">
      <w:pPr>
        <w:pStyle w:val="a3"/>
        <w:jc w:val="center"/>
      </w:pPr>
      <w:r>
        <w:rPr>
          <w:b/>
          <w:bCs/>
        </w:rPr>
        <w:t>ФЕДЕРАЛЬНЫЙ АРБИТРАЖНЫЙ СУД</w:t>
      </w:r>
    </w:p>
    <w:p w:rsidR="00DF760C" w:rsidRDefault="00DF760C" w:rsidP="00DF760C">
      <w:pPr>
        <w:pStyle w:val="a3"/>
        <w:jc w:val="center"/>
      </w:pPr>
      <w:r>
        <w:rPr>
          <w:b/>
          <w:bCs/>
        </w:rPr>
        <w:t>ВОЛГО-ВЯТСКОГО ОКРУГА</w:t>
      </w:r>
    </w:p>
    <w:p w:rsidR="00DF760C" w:rsidRDefault="00DF760C" w:rsidP="00DF760C">
      <w:pPr>
        <w:pStyle w:val="a3"/>
        <w:jc w:val="center"/>
      </w:pPr>
      <w:r>
        <w:rPr>
          <w:b/>
          <w:bCs/>
        </w:rPr>
        <w:t>603082, Нижний Новгород, Кремль, 4,  http://fasvvo.arbitr.ru/</w:t>
      </w:r>
    </w:p>
    <w:p w:rsidR="00DF760C" w:rsidRDefault="00DF760C" w:rsidP="00DF760C">
      <w:pPr>
        <w:pStyle w:val="a3"/>
        <w:jc w:val="center"/>
      </w:pPr>
      <w:r>
        <w:rPr>
          <w:b/>
          <w:bCs/>
        </w:rPr>
        <w:t> </w:t>
      </w:r>
    </w:p>
    <w:p w:rsidR="00DF760C" w:rsidRDefault="00DF760C" w:rsidP="00DF760C">
      <w:pPr>
        <w:pStyle w:val="a3"/>
        <w:jc w:val="center"/>
      </w:pPr>
      <w:r>
        <w:rPr>
          <w:b/>
          <w:bCs/>
        </w:rPr>
        <w:t>ПОСТАНОВЛЕНИЕ</w:t>
      </w:r>
    </w:p>
    <w:p w:rsidR="00DF760C" w:rsidRDefault="00DF760C" w:rsidP="00DF760C">
      <w:pPr>
        <w:pStyle w:val="a3"/>
        <w:jc w:val="center"/>
      </w:pPr>
      <w:r>
        <w:rPr>
          <w:b/>
          <w:bCs/>
        </w:rPr>
        <w:t xml:space="preserve">арбитражного суда кассационной инстанции </w:t>
      </w:r>
    </w:p>
    <w:p w:rsidR="00DF760C" w:rsidRDefault="00DF760C" w:rsidP="00DF760C">
      <w:pPr>
        <w:pStyle w:val="a3"/>
        <w:jc w:val="center"/>
      </w:pPr>
      <w:r>
        <w:rPr>
          <w:b/>
          <w:bCs/>
        </w:rPr>
        <w:t> </w:t>
      </w:r>
    </w:p>
    <w:p w:rsidR="00DF760C" w:rsidRDefault="00DF760C" w:rsidP="00DF760C">
      <w:pPr>
        <w:pStyle w:val="a3"/>
      </w:pPr>
      <w:r>
        <w:t>Нижний Новгород</w:t>
      </w:r>
    </w:p>
    <w:p w:rsidR="00DF760C" w:rsidRDefault="00DF760C" w:rsidP="00DF760C">
      <w:pPr>
        <w:pStyle w:val="a3"/>
        <w:jc w:val="right"/>
      </w:pPr>
      <w:r>
        <w:t xml:space="preserve">Дело № </w:t>
      </w:r>
      <w:r>
        <w:rPr>
          <w:rStyle w:val="g-highlight"/>
        </w:rPr>
        <w:t>А79</w:t>
      </w:r>
      <w:r>
        <w:t>-</w:t>
      </w:r>
      <w:r>
        <w:rPr>
          <w:rStyle w:val="g-highlight"/>
        </w:rPr>
        <w:t>877</w:t>
      </w:r>
      <w:r>
        <w:t>/</w:t>
      </w:r>
      <w:r>
        <w:rPr>
          <w:rStyle w:val="g-highlight"/>
        </w:rPr>
        <w:t>2011</w:t>
      </w:r>
    </w:p>
    <w:p w:rsidR="00DF760C" w:rsidRDefault="00DF760C" w:rsidP="00DF760C">
      <w:pPr>
        <w:pStyle w:val="a3"/>
      </w:pPr>
      <w:r>
        <w:t>03 августа 2012 года</w:t>
      </w:r>
    </w:p>
    <w:p w:rsidR="00DF760C" w:rsidRDefault="00DF760C" w:rsidP="00DF760C">
      <w:pPr>
        <w:pStyle w:val="a3"/>
        <w:jc w:val="both"/>
      </w:pPr>
      <w:r>
        <w:t>(дата изготовления постановления в полном объеме)</w:t>
      </w:r>
      <w:bookmarkStart w:id="0" w:name="_GoBack"/>
      <w:bookmarkEnd w:id="0"/>
    </w:p>
    <w:p w:rsidR="00DF760C" w:rsidRDefault="00DF760C" w:rsidP="00DF760C">
      <w:pPr>
        <w:pStyle w:val="a3"/>
        <w:jc w:val="both"/>
      </w:pPr>
      <w:r>
        <w:t>Резолютивная часть постановления объявлена 30.07.2012.</w:t>
      </w:r>
    </w:p>
    <w:p w:rsidR="00DF760C" w:rsidRDefault="00DF760C" w:rsidP="00DF760C">
      <w:pPr>
        <w:pStyle w:val="a3"/>
        <w:jc w:val="both"/>
      </w:pPr>
      <w:r>
        <w:t> </w:t>
      </w:r>
    </w:p>
    <w:p w:rsidR="00DF760C" w:rsidRDefault="00DF760C" w:rsidP="00DF760C">
      <w:pPr>
        <w:pStyle w:val="a3"/>
        <w:jc w:val="both"/>
      </w:pPr>
      <w:r>
        <w:t>Федеральный арбитражный суд Волго-Вятского округа в составе:</w:t>
      </w:r>
    </w:p>
    <w:p w:rsidR="00DF760C" w:rsidRDefault="00DF760C" w:rsidP="00DF760C">
      <w:pPr>
        <w:pStyle w:val="a3"/>
        <w:jc w:val="both"/>
      </w:pPr>
      <w:r>
        <w:t>председательствующего Александровой О.В.,</w:t>
      </w:r>
    </w:p>
    <w:p w:rsidR="00DF760C" w:rsidRDefault="00DF760C" w:rsidP="00DF760C">
      <w:pPr>
        <w:pStyle w:val="a3"/>
        <w:jc w:val="both"/>
      </w:pPr>
      <w:r>
        <w:t xml:space="preserve">судей </w:t>
      </w:r>
      <w:proofErr w:type="spellStart"/>
      <w:r>
        <w:t>Забурдаевой</w:t>
      </w:r>
      <w:proofErr w:type="spellEnd"/>
      <w:r>
        <w:t xml:space="preserve"> И.Л., Чигракова А.И.</w:t>
      </w:r>
    </w:p>
    <w:p w:rsidR="00DF760C" w:rsidRDefault="00DF760C" w:rsidP="00DF760C">
      <w:pPr>
        <w:pStyle w:val="a3"/>
        <w:jc w:val="both"/>
      </w:pPr>
      <w:r>
        <w:t> </w:t>
      </w:r>
    </w:p>
    <w:p w:rsidR="00DF760C" w:rsidRDefault="00DF760C" w:rsidP="00DF760C">
      <w:pPr>
        <w:pStyle w:val="a3"/>
        <w:jc w:val="both"/>
      </w:pPr>
      <w:r>
        <w:t>при участии представителя</w:t>
      </w:r>
    </w:p>
    <w:p w:rsidR="00DF760C" w:rsidRDefault="00DF760C" w:rsidP="00DF760C">
      <w:pPr>
        <w:pStyle w:val="a3"/>
        <w:jc w:val="both"/>
      </w:pPr>
      <w:r>
        <w:t>от заявителя: Карпеца С.А. (доверенность от 28.02.</w:t>
      </w:r>
      <w:r>
        <w:rPr>
          <w:rStyle w:val="g-highlight"/>
        </w:rPr>
        <w:t>2011</w:t>
      </w:r>
      <w:r>
        <w:t>)</w:t>
      </w:r>
    </w:p>
    <w:p w:rsidR="00DF760C" w:rsidRDefault="00DF760C" w:rsidP="00DF760C">
      <w:pPr>
        <w:pStyle w:val="a3"/>
        <w:jc w:val="both"/>
      </w:pPr>
      <w:r>
        <w:t> </w:t>
      </w:r>
    </w:p>
    <w:p w:rsidR="00DF760C" w:rsidRDefault="00DF760C" w:rsidP="00DF760C">
      <w:pPr>
        <w:pStyle w:val="a3"/>
        <w:jc w:val="both"/>
      </w:pPr>
      <w:r>
        <w:t xml:space="preserve">рассмотрел в судебном заседании кассационную жалобу заявителя – </w:t>
      </w:r>
    </w:p>
    <w:p w:rsidR="00DF760C" w:rsidRDefault="00DF760C" w:rsidP="00DF760C">
      <w:pPr>
        <w:pStyle w:val="a3"/>
        <w:jc w:val="both"/>
      </w:pPr>
      <w:r>
        <w:t>Межрегионального коммерческого банка развития связи и информатики (открытое акционерное общество)</w:t>
      </w:r>
    </w:p>
    <w:p w:rsidR="00DF760C" w:rsidRDefault="00DF760C" w:rsidP="00DF760C">
      <w:pPr>
        <w:pStyle w:val="a3"/>
        <w:jc w:val="both"/>
      </w:pPr>
      <w:r>
        <w:t> </w:t>
      </w:r>
    </w:p>
    <w:p w:rsidR="00DF760C" w:rsidRDefault="00DF760C" w:rsidP="00DF760C">
      <w:pPr>
        <w:pStyle w:val="a3"/>
        <w:jc w:val="both"/>
      </w:pPr>
      <w:r>
        <w:t>на решение Арбитражного суда Чувашской Республики от 15.06.</w:t>
      </w:r>
      <w:r>
        <w:rPr>
          <w:rStyle w:val="g-highlight"/>
        </w:rPr>
        <w:t>2011</w:t>
      </w:r>
      <w:r>
        <w:t>,</w:t>
      </w:r>
    </w:p>
    <w:p w:rsidR="00DF760C" w:rsidRDefault="00DF760C" w:rsidP="00DF760C">
      <w:pPr>
        <w:pStyle w:val="a3"/>
        <w:jc w:val="both"/>
      </w:pPr>
      <w:proofErr w:type="gramStart"/>
      <w:r>
        <w:t>принятое</w:t>
      </w:r>
      <w:proofErr w:type="gramEnd"/>
      <w:r>
        <w:t xml:space="preserve"> судьей Павловой О.Л.,  и</w:t>
      </w:r>
    </w:p>
    <w:p w:rsidR="00DF760C" w:rsidRDefault="00DF760C" w:rsidP="00DF760C">
      <w:pPr>
        <w:pStyle w:val="a3"/>
        <w:jc w:val="both"/>
      </w:pPr>
      <w:r>
        <w:t>на постановление Первого арбитражного апелляционного суда от 16.03.2012,</w:t>
      </w:r>
    </w:p>
    <w:p w:rsidR="00DF760C" w:rsidRDefault="00DF760C" w:rsidP="00DF760C">
      <w:pPr>
        <w:pStyle w:val="a3"/>
        <w:jc w:val="both"/>
      </w:pPr>
      <w:proofErr w:type="gramStart"/>
      <w:r>
        <w:lastRenderedPageBreak/>
        <w:t>принятое</w:t>
      </w:r>
      <w:proofErr w:type="gramEnd"/>
      <w:r>
        <w:t xml:space="preserve"> судьями Смирновой И.А., Захаровой Т.А., Протасовым Ю.В.,</w:t>
      </w:r>
    </w:p>
    <w:p w:rsidR="00DF760C" w:rsidRDefault="00DF760C" w:rsidP="00DF760C">
      <w:pPr>
        <w:pStyle w:val="a3"/>
        <w:jc w:val="both"/>
      </w:pPr>
      <w:r>
        <w:t xml:space="preserve">по делу № </w:t>
      </w:r>
      <w:r>
        <w:rPr>
          <w:rStyle w:val="g-highlight"/>
        </w:rPr>
        <w:t>А79</w:t>
      </w:r>
      <w:r>
        <w:t>-</w:t>
      </w:r>
      <w:r>
        <w:rPr>
          <w:rStyle w:val="g-highlight"/>
        </w:rPr>
        <w:t>877</w:t>
      </w:r>
      <w:r>
        <w:t>/</w:t>
      </w:r>
      <w:r>
        <w:rPr>
          <w:rStyle w:val="g-highlight"/>
        </w:rPr>
        <w:t>2011</w:t>
      </w:r>
    </w:p>
    <w:p w:rsidR="00DF760C" w:rsidRDefault="00DF760C" w:rsidP="00DF760C">
      <w:pPr>
        <w:pStyle w:val="a3"/>
        <w:jc w:val="both"/>
      </w:pPr>
      <w:r>
        <w:t> </w:t>
      </w:r>
    </w:p>
    <w:p w:rsidR="00DF760C" w:rsidRDefault="00DF760C" w:rsidP="00DF760C">
      <w:pPr>
        <w:pStyle w:val="a3"/>
        <w:jc w:val="both"/>
      </w:pPr>
      <w:r>
        <w:t>по заявлениям закрытого акционерного общества «Страховая группа «УралСиб»</w:t>
      </w:r>
    </w:p>
    <w:p w:rsidR="00DF760C" w:rsidRDefault="00DF760C" w:rsidP="00DF760C">
      <w:pPr>
        <w:pStyle w:val="a3"/>
        <w:jc w:val="both"/>
      </w:pPr>
      <w:r>
        <w:t xml:space="preserve">(ИНН: 7703032986, ОГРН: 1027739022376) </w:t>
      </w:r>
    </w:p>
    <w:p w:rsidR="00DF760C" w:rsidRDefault="00DF760C" w:rsidP="00DF760C">
      <w:pPr>
        <w:pStyle w:val="a3"/>
        <w:jc w:val="both"/>
      </w:pPr>
      <w:proofErr w:type="gramStart"/>
      <w:r>
        <w:t xml:space="preserve">Межрегионального коммерческого банка развития связи и информатики (открытое </w:t>
      </w:r>
      <w:proofErr w:type="gramEnd"/>
    </w:p>
    <w:p w:rsidR="00DF760C" w:rsidRDefault="00DF760C" w:rsidP="00DF760C">
      <w:pPr>
        <w:pStyle w:val="a3"/>
        <w:jc w:val="both"/>
      </w:pPr>
      <w:r>
        <w:t>акционерное общество) (ИНН: 7710301140, ОГРН: 1027700159288)</w:t>
      </w:r>
    </w:p>
    <w:p w:rsidR="00DF760C" w:rsidRDefault="00DF760C" w:rsidP="00DF760C">
      <w:pPr>
        <w:pStyle w:val="a3"/>
        <w:jc w:val="both"/>
      </w:pPr>
      <w:r>
        <w:t>к Управлению Федеральной антимонопольной службы по Чувашской Республике</w:t>
      </w:r>
    </w:p>
    <w:p w:rsidR="00DF760C" w:rsidRDefault="00DF760C" w:rsidP="00DF760C">
      <w:pPr>
        <w:pStyle w:val="a3"/>
        <w:jc w:val="both"/>
      </w:pPr>
      <w:r>
        <w:t xml:space="preserve">о признании </w:t>
      </w:r>
      <w:proofErr w:type="gramStart"/>
      <w:r>
        <w:t>недействительными</w:t>
      </w:r>
      <w:proofErr w:type="gramEnd"/>
      <w:r>
        <w:t xml:space="preserve"> решения и предписания</w:t>
      </w:r>
    </w:p>
    <w:p w:rsidR="00DF760C" w:rsidRDefault="00DF760C" w:rsidP="00DF760C">
      <w:pPr>
        <w:pStyle w:val="a3"/>
        <w:jc w:val="both"/>
      </w:pPr>
      <w:r>
        <w:t> </w:t>
      </w:r>
    </w:p>
    <w:p w:rsidR="00DF760C" w:rsidRDefault="00DF760C" w:rsidP="00DF760C">
      <w:pPr>
        <w:pStyle w:val="a3"/>
        <w:jc w:val="both"/>
      </w:pPr>
      <w:r>
        <w:t>и   у с т а н о в и л</w:t>
      </w:r>
      <w:proofErr w:type="gramStart"/>
      <w:r>
        <w:t xml:space="preserve"> :</w:t>
      </w:r>
      <w:proofErr w:type="gramEnd"/>
      <w:r>
        <w:t xml:space="preserve"> </w:t>
      </w:r>
    </w:p>
    <w:p w:rsidR="00DF760C" w:rsidRDefault="00DF760C" w:rsidP="00DF760C">
      <w:pPr>
        <w:pStyle w:val="a3"/>
        <w:jc w:val="both"/>
      </w:pPr>
      <w:r>
        <w:t> </w:t>
      </w:r>
    </w:p>
    <w:p w:rsidR="00DF760C" w:rsidRDefault="00DF760C" w:rsidP="00DF760C">
      <w:pPr>
        <w:pStyle w:val="a3"/>
        <w:jc w:val="both"/>
      </w:pPr>
      <w:proofErr w:type="gramStart"/>
      <w:r>
        <w:t>закрытое акционерное общество «Страховая группа «УралСиб» (далее – Страховая организация) и Межрегиональный коммерческий банк развития связи и информатики (открытое акционерное общество) в лице Чувашского филиала (далее – Банк) обратились в Арбитражный суд Чувашской Республики с заявлениями о признании недействительными решения и предписания Управления Федеральной антимонопольной службы по Чувашской Республике (далее – Управление) от 24.12.2010 по делу № 37-АМЗ-2010.</w:t>
      </w:r>
      <w:proofErr w:type="gramEnd"/>
    </w:p>
    <w:p w:rsidR="00DF760C" w:rsidRDefault="00DF760C" w:rsidP="00DF760C">
      <w:pPr>
        <w:pStyle w:val="a3"/>
        <w:jc w:val="both"/>
      </w:pPr>
      <w:r>
        <w:t>Определением Арбитражного суда Чувашской Республики от 15.03.</w:t>
      </w:r>
      <w:r>
        <w:rPr>
          <w:rStyle w:val="g-highlight"/>
        </w:rPr>
        <w:t>2011</w:t>
      </w:r>
      <w:r>
        <w:t xml:space="preserve"> дела </w:t>
      </w:r>
      <w:r>
        <w:br/>
        <w:t xml:space="preserve">№ </w:t>
      </w:r>
      <w:r>
        <w:rPr>
          <w:rStyle w:val="g-highlight"/>
        </w:rPr>
        <w:t>А79</w:t>
      </w:r>
      <w:r>
        <w:t>-</w:t>
      </w:r>
      <w:r>
        <w:rPr>
          <w:rStyle w:val="g-highlight"/>
        </w:rPr>
        <w:t>877</w:t>
      </w:r>
      <w:r>
        <w:t>/</w:t>
      </w:r>
      <w:r>
        <w:rPr>
          <w:rStyle w:val="g-highlight"/>
        </w:rPr>
        <w:t>2011</w:t>
      </w:r>
      <w:r>
        <w:t xml:space="preserve"> и </w:t>
      </w:r>
      <w:r>
        <w:rPr>
          <w:rStyle w:val="g-highlight"/>
        </w:rPr>
        <w:t>А79</w:t>
      </w:r>
      <w:r>
        <w:t>-952/</w:t>
      </w:r>
      <w:r>
        <w:rPr>
          <w:rStyle w:val="g-highlight"/>
        </w:rPr>
        <w:t>2011</w:t>
      </w:r>
      <w:r>
        <w:t xml:space="preserve"> объединены в одно производство, делу </w:t>
      </w:r>
      <w:proofErr w:type="gramStart"/>
      <w:r>
        <w:t>присвоен</w:t>
      </w:r>
      <w:proofErr w:type="gramEnd"/>
      <w:r>
        <w:t xml:space="preserve"> </w:t>
      </w:r>
      <w:r>
        <w:br/>
        <w:t xml:space="preserve">№ </w:t>
      </w:r>
      <w:r>
        <w:rPr>
          <w:rStyle w:val="g-highlight"/>
        </w:rPr>
        <w:t>А79</w:t>
      </w:r>
      <w:r>
        <w:t>-</w:t>
      </w:r>
      <w:r>
        <w:rPr>
          <w:rStyle w:val="g-highlight"/>
        </w:rPr>
        <w:t>877</w:t>
      </w:r>
      <w:r>
        <w:t>/</w:t>
      </w:r>
      <w:r>
        <w:rPr>
          <w:rStyle w:val="g-highlight"/>
        </w:rPr>
        <w:t>2011</w:t>
      </w:r>
      <w:r>
        <w:t>.</w:t>
      </w:r>
    </w:p>
    <w:p w:rsidR="00DF760C" w:rsidRDefault="00DF760C" w:rsidP="00DF760C">
      <w:pPr>
        <w:pStyle w:val="a3"/>
        <w:jc w:val="both"/>
      </w:pPr>
      <w:proofErr w:type="gramStart"/>
      <w:r>
        <w:t xml:space="preserve">Руководствуясь статьями 4, 11, 13 и 39 Федерального закона от 26.07.2006 </w:t>
      </w:r>
      <w:r>
        <w:br/>
        <w:t xml:space="preserve">№ 135-ФЗ «О защите конкуренции» (далее – Закон о конкуренции), постановлением Пленума Высшего Арбитражного суда Российской Федерации от 30.06.2008 № 30 </w:t>
      </w:r>
      <w:r>
        <w:br/>
        <w:t>«О некоторых вопросах, возникающих в связи с применением арбитражными судами антимонопольного законодательства», суд первой инстанции решением от 15.06.</w:t>
      </w:r>
      <w:r>
        <w:rPr>
          <w:rStyle w:val="g-highlight"/>
        </w:rPr>
        <w:t>2011</w:t>
      </w:r>
      <w:r>
        <w:t xml:space="preserve"> отказал в удовлетворении заявленного требования, поскольку пришел к выводу о том,  что действия</w:t>
      </w:r>
      <w:proofErr w:type="gramEnd"/>
      <w:r>
        <w:t xml:space="preserve"> Банка и Страховой организации свидетельствуют о злоупотреблении правом, в частности принципом свободы договора путем навязывания контрагенту невыгодных условий договора: требование Банка о заключении договора личного страхования жизни и здоровья не относится к предмету кредитного договора; кроме того, у клиента отсутствовала возможность заключить договор страхования со страховой организацией, не входящей в перечень компаний, установленный Банком, в связи с завышенными требованиями последнего. </w:t>
      </w:r>
    </w:p>
    <w:p w:rsidR="00DF760C" w:rsidRDefault="00DF760C" w:rsidP="00DF760C">
      <w:pPr>
        <w:pStyle w:val="a3"/>
        <w:jc w:val="both"/>
      </w:pPr>
      <w:r>
        <w:t xml:space="preserve">Постановлением апелляционного суда от 16.03.2012 решение отменено частично: пункт 2 резолютивной части решения Управления от 24.12.2010 и пункты 1, 2 (абзац 1) и 3 </w:t>
      </w:r>
      <w:r>
        <w:lastRenderedPageBreak/>
        <w:t xml:space="preserve">предписания от 24.12.2010 по делу № 37-АМЗ-2010 признаны незаконными, в остальной части решение оставлено без изменения. Апелляционный суд согласился с выводом суда об ограничении доступа иных страховых компаний к работе по страхованию заемщиков Банка, однако признал недоказанным факт нарушения заявителями пункта 5 части 1 статьи 11 Закона о конкуренции. Суд указал, что Банк не является стороной договоров страхования, поэтому предписание, обязывающее Банк устранить из действующих договоров страхования с заемщиками спорных условий, незаконно. </w:t>
      </w:r>
    </w:p>
    <w:p w:rsidR="00DF760C" w:rsidRDefault="00DF760C" w:rsidP="00DF760C">
      <w:pPr>
        <w:pStyle w:val="a3"/>
        <w:jc w:val="both"/>
      </w:pPr>
      <w:r>
        <w:t>Банк не согласился с принятыми по делу судебными актами и обратился в Федеральный арбитражный суд Волго-Вятского округа с кассационной жалобой, в которой просит их отменить в части отказа в удовлетворении требований.</w:t>
      </w:r>
    </w:p>
    <w:p w:rsidR="00DF760C" w:rsidRDefault="00DF760C" w:rsidP="00DF760C">
      <w:pPr>
        <w:pStyle w:val="a3"/>
        <w:jc w:val="both"/>
      </w:pPr>
      <w:r>
        <w:t>По мнению Банка, суд не применил подлежащий применению пункт 2 постановления Правительства Российской Федерации от 30.04.2009 № 386 «О случаях допустимости соглашений между кредитными и страховыми организациями». Работники подразделений Банка обязаны информировать заемщиков о возможности страхования рисков в любой страховой организации.</w:t>
      </w:r>
    </w:p>
    <w:p w:rsidR="00DF760C" w:rsidRDefault="00DF760C" w:rsidP="00DF760C">
      <w:pPr>
        <w:pStyle w:val="a3"/>
        <w:jc w:val="both"/>
      </w:pPr>
      <w:r>
        <w:t>Банк указывает, что действующим законодательством не урегулирован вопрос о том, кто представляет документы по страховой организации. Управление не представило в материалы дела доказательств, свидетельствующих об отказе Банка в предоставлении займа при непредставлении заемщиками определенных документов либо отказе Банка получить такие документы самостоятельно.</w:t>
      </w:r>
    </w:p>
    <w:p w:rsidR="00DF760C" w:rsidRDefault="00DF760C" w:rsidP="00DF760C">
      <w:pPr>
        <w:pStyle w:val="a3"/>
        <w:jc w:val="both"/>
      </w:pPr>
      <w:r>
        <w:t>Подробно доводы Банка изложены в кассационной жалобе и поддержаны его представителем в судебном заседании.</w:t>
      </w:r>
    </w:p>
    <w:p w:rsidR="00DF760C" w:rsidRDefault="00DF760C" w:rsidP="00DF760C">
      <w:pPr>
        <w:pStyle w:val="a3"/>
        <w:jc w:val="both"/>
      </w:pPr>
      <w:r>
        <w:t>В отзыве на кассационную жалобу Управление просит судебные акты оставить без изменения как законные и обоснованные и заявило ходатайство о рассмотрении жалобы без ее участия.</w:t>
      </w:r>
    </w:p>
    <w:p w:rsidR="00DF760C" w:rsidRDefault="00DF760C" w:rsidP="00DF760C">
      <w:pPr>
        <w:pStyle w:val="a3"/>
        <w:jc w:val="both"/>
      </w:pPr>
      <w:proofErr w:type="gramStart"/>
      <w:r>
        <w:t>Законность принятых Арбитражным судом Республики Чувашия и Первым арбитражным апелляционным судом решения и постановления в обжалуемой части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w:t>
      </w:r>
      <w:proofErr w:type="gramEnd"/>
    </w:p>
    <w:p w:rsidR="00DF760C" w:rsidRDefault="00DF760C" w:rsidP="00DF760C">
      <w:pPr>
        <w:pStyle w:val="a3"/>
        <w:jc w:val="both"/>
      </w:pPr>
      <w:r>
        <w:t xml:space="preserve">Как следует из материалов дела, письмом от 10.12.2009 Управление запросило у Банка информацию относительно его деятельности на рынке ипотечного кредитования в Чувашской Республике в рамках осуществления </w:t>
      </w:r>
      <w:proofErr w:type="gramStart"/>
      <w:r>
        <w:t>контроля за</w:t>
      </w:r>
      <w:proofErr w:type="gramEnd"/>
      <w:r>
        <w:t xml:space="preserve"> соблюдением коммерческими банками антимонопольного законодательства при проведении ипотечного кредитования.</w:t>
      </w:r>
    </w:p>
    <w:p w:rsidR="00DF760C" w:rsidRDefault="00DF760C" w:rsidP="00DF760C">
      <w:pPr>
        <w:pStyle w:val="a3"/>
        <w:jc w:val="both"/>
      </w:pPr>
      <w:r>
        <w:t>Изучив представленную информацию, Управление установило, что при предоставлении ипотечных кредитов Банк выставлял требования о страховании риска утраты и повреждения передаваемого в залог недвижимого имущества; страховании жизни и риска утраты трудоспособности всех заемщиков по кредиту; страховании риска утраты или ограничения права собственности на приобретаемое недвижимое имущество. При этом страхование осуществляется в страховой компании, рекомендованной Банком.</w:t>
      </w:r>
    </w:p>
    <w:p w:rsidR="00DF760C" w:rsidRDefault="00DF760C" w:rsidP="00DF760C">
      <w:pPr>
        <w:pStyle w:val="a3"/>
        <w:jc w:val="both"/>
      </w:pPr>
      <w:r>
        <w:t>Страхование заемщиков Банка на территории Чувашской Республики производится на основании заключенного между Банком и Страховой организацией соглашения о сотрудничестве в рамках ипотечного кредитования от 17.03.2008 № СИ-08/01.</w:t>
      </w:r>
    </w:p>
    <w:p w:rsidR="00DF760C" w:rsidRDefault="00DF760C" w:rsidP="00DF760C">
      <w:pPr>
        <w:pStyle w:val="a3"/>
        <w:jc w:val="both"/>
      </w:pPr>
      <w:r>
        <w:lastRenderedPageBreak/>
        <w:t>Согласно письму Банка от 20.09.2010 № 08-2919 на территории Чувашской Республики у Банка действуют следующие программы ипотечного кредитования: программа ипотечного кредитования в рамках сотрудничества Банка с открытым акционерным обществом «Агентство по ипотечному жилищному кредитованию», утвержденная решением Правления Банка от 04.03.2009; программа ипотечного кредитования Банка, утвержденная решением Правления Банка от 19.03.2010; программа кредитования физических лиц на приобретение недвижимого имущества на стадии строительства, утвержденная решением Правления Банка от 19.04.2010.</w:t>
      </w:r>
    </w:p>
    <w:p w:rsidR="00DF760C" w:rsidRDefault="00DF760C" w:rsidP="00DF760C">
      <w:pPr>
        <w:pStyle w:val="a3"/>
        <w:jc w:val="both"/>
      </w:pPr>
      <w:r>
        <w:t>В соответствии с программой ипотечного кредитования в рамках сотрудничества Банка с открытым акционерным обществом «Агентство по ипотечному жилищному кредитованию», утвержденной решением Правления Банка от 04.03.2009 (протокол № 10), наряду со страхованием заложенного имущества необходимо обязательное личное и титульное страхование.</w:t>
      </w:r>
    </w:p>
    <w:p w:rsidR="00DF760C" w:rsidRDefault="00DF760C" w:rsidP="00DF760C">
      <w:pPr>
        <w:pStyle w:val="a3"/>
        <w:jc w:val="both"/>
      </w:pPr>
      <w:r>
        <w:t>Программой ипотечного кредитования Банка, утвержденной решением Правлением Банка от 19.03.2010 (протокол № 22), в качестве обязательного условия осуществления банком ипотечного кредитования указано только страхование риска утраты и повреждения предмета ипотеки, а личное и титульное страхование осуществляется по желанию заемщика.</w:t>
      </w:r>
    </w:p>
    <w:p w:rsidR="00DF760C" w:rsidRDefault="00DF760C" w:rsidP="00DF760C">
      <w:pPr>
        <w:pStyle w:val="a3"/>
        <w:jc w:val="both"/>
      </w:pPr>
      <w:r>
        <w:t>В программе ипотечного кредитования физических лиц на приобретение недвижимого имущества на стадии строительства, утвержденной решением Правления Банка от 19.04.2010 (протокол № 32), в качестве обязательного условия осуществления Банком ипотечного кредитования предусмотрено только страхование риска утраты и повреждения предмета ипотеки, а личное и титульное страхование осуществляется по желанию заемщика.</w:t>
      </w:r>
    </w:p>
    <w:p w:rsidR="00DF760C" w:rsidRDefault="00DF760C" w:rsidP="00DF760C">
      <w:pPr>
        <w:pStyle w:val="a3"/>
        <w:jc w:val="both"/>
      </w:pPr>
      <w:r>
        <w:t>До принятия указанных программ в Банке действовали программы ипотечного кредитования «Профессионал», «Профессионал+», «Свободный», «Вторая квартира», «Универсал», обязательным условием участия которых являлось заключение заемщиком договоров страхования жизни и потери трудоспособности заемщиков от несчастных случаев и болезни (выписка из протокола Правления Банка от 13.11.2007 № 53).</w:t>
      </w:r>
    </w:p>
    <w:p w:rsidR="00DF760C" w:rsidRDefault="00DF760C" w:rsidP="00DF760C">
      <w:pPr>
        <w:pStyle w:val="a3"/>
        <w:jc w:val="both"/>
      </w:pPr>
      <w:r>
        <w:t>Таким образом, до 19.03.2010 при предоставлении ипотечных кредитов Банк требовал от заемщиков заключать договоры личного страхования.</w:t>
      </w:r>
    </w:p>
    <w:p w:rsidR="00DF760C" w:rsidRDefault="00DF760C" w:rsidP="00DF760C">
      <w:pPr>
        <w:pStyle w:val="a3"/>
        <w:jc w:val="both"/>
      </w:pPr>
      <w:proofErr w:type="gramStart"/>
      <w:r>
        <w:t>В соответствии с пунктом 2.1 Соглашения от 17.03.2008 № СИ-08/01, заключенного между Банком и Обществом, его предметом является оказание Банком услуг по содействию Страховщику в привлечении клиентов в целях заключения с заемщиками договоров по страхованию рисков, указанных в пункте 2.2 данного соглашения, в рамках реализуемых Банком программ по ипотечному жилищному кредитованию.</w:t>
      </w:r>
      <w:proofErr w:type="gramEnd"/>
    </w:p>
    <w:p w:rsidR="00DF760C" w:rsidRDefault="00DF760C" w:rsidP="00DF760C">
      <w:pPr>
        <w:pStyle w:val="a3"/>
        <w:jc w:val="both"/>
      </w:pPr>
      <w:proofErr w:type="gramStart"/>
      <w:r>
        <w:t xml:space="preserve">Согласно названному пункту 2.2 в соответствии с требованиями Банка страхованию подлежат следующие виды рисков (в зависимости от условий программ по ипотечному жилищному кредитованию): риски причинения вреда жизни заемщика и потери трудоспособности заемщиком; риски в отношении гибели (уничтожения), утраты, повреждения предмета ипотеки; риски </w:t>
      </w:r>
      <w:proofErr w:type="spellStart"/>
      <w:r>
        <w:t>невозникновения</w:t>
      </w:r>
      <w:proofErr w:type="spellEnd"/>
      <w:r>
        <w:t>, прекращения, ограничения (обременения) права собственности заемщика на предмет ипотеки.</w:t>
      </w:r>
      <w:proofErr w:type="gramEnd"/>
    </w:p>
    <w:p w:rsidR="00DF760C" w:rsidRDefault="00DF760C" w:rsidP="00DF760C">
      <w:pPr>
        <w:pStyle w:val="a3"/>
        <w:jc w:val="both"/>
      </w:pPr>
      <w:r>
        <w:t xml:space="preserve">Ипотечные кредиты на момент возбуждения Управлением дела выдавались Банком в соответствии с Порядком выдачи ипотечных кредитов физическим лицам, утвержденным </w:t>
      </w:r>
      <w:r>
        <w:lastRenderedPageBreak/>
        <w:t>решением Правления Банка от 29.07.2009, и Порядком выдачи кредитов физическим лицам на приобретение недвижимого имущества на стадии строительства, утвержденным решением правления Банка от 12.04.2009.</w:t>
      </w:r>
    </w:p>
    <w:p w:rsidR="00DF760C" w:rsidRDefault="00DF760C" w:rsidP="00DF760C">
      <w:pPr>
        <w:pStyle w:val="a3"/>
        <w:jc w:val="both"/>
      </w:pPr>
      <w:r>
        <w:t>В связи с введением в действие Порядка выдачи кредитов физическим лицам, утвержденного решением Правления Банка от 02.08.2010 (далее – Порядок), указанные программы прекратили свое действие.</w:t>
      </w:r>
    </w:p>
    <w:p w:rsidR="00DF760C" w:rsidRDefault="00DF760C" w:rsidP="00DF760C">
      <w:pPr>
        <w:pStyle w:val="a3"/>
        <w:jc w:val="both"/>
      </w:pPr>
      <w:r>
        <w:t xml:space="preserve">Согласно разделу 41 порядка «Подготовка договоров страхования» заемщику, поручителю, залогодателю представляется форма заявления на страхование с предусмотренной страховой кампанией. Банк проверяет соответствие проектов договоров страхования предъявленным им требованиям. При несоответствии проектов договора предъявленным требованиям Банка, </w:t>
      </w:r>
      <w:proofErr w:type="gramStart"/>
      <w:r>
        <w:t>последний</w:t>
      </w:r>
      <w:proofErr w:type="gramEnd"/>
      <w:r>
        <w:t xml:space="preserve"> контролирует внесение соответствующих изменений.</w:t>
      </w:r>
    </w:p>
    <w:p w:rsidR="00DF760C" w:rsidRDefault="00DF760C" w:rsidP="00DF760C">
      <w:pPr>
        <w:pStyle w:val="a3"/>
        <w:jc w:val="both"/>
      </w:pPr>
      <w:r>
        <w:t>Порядком предусмотрены следующие типовые формы договоров страхования: имущественного; имущественного и титульного; личного; личного, имущественного и титульного (приложения 14.1 – 14.4 к порядку).</w:t>
      </w:r>
    </w:p>
    <w:p w:rsidR="00DF760C" w:rsidRDefault="00DF760C" w:rsidP="00DF760C">
      <w:pPr>
        <w:pStyle w:val="a3"/>
        <w:jc w:val="both"/>
      </w:pPr>
      <w:proofErr w:type="gramStart"/>
      <w:r>
        <w:t>Страхование до выдачи кредита осуществляется в согласованной Банком страховой компании за счет заемщика на следующих условиях: на срок не менее срока кредитования (по титульному страхованию – на срок не менее 4 лет с даты выдачи кредита); страховая сумма по всем видам страхования определяется в размере не менее остатка ссудной задолженности, увеличенной на 10 процентов.</w:t>
      </w:r>
      <w:proofErr w:type="gramEnd"/>
    </w:p>
    <w:p w:rsidR="00DF760C" w:rsidRDefault="00DF760C" w:rsidP="00DF760C">
      <w:pPr>
        <w:pStyle w:val="a3"/>
        <w:jc w:val="both"/>
      </w:pPr>
      <w:r>
        <w:t>Как установило Управление, Общество заключило 4 договора страхования с заемщиками Банка, в 2009 году – 9 договоров.</w:t>
      </w:r>
    </w:p>
    <w:p w:rsidR="00DF760C" w:rsidRDefault="00DF760C" w:rsidP="00DF760C">
      <w:pPr>
        <w:pStyle w:val="a3"/>
        <w:jc w:val="both"/>
      </w:pPr>
      <w:r>
        <w:t>Соглашение между Банком и Обществом обязывало заемщиков заключать договоры страхования на весь срок кредитования в определенных страховых компаниях.</w:t>
      </w:r>
    </w:p>
    <w:p w:rsidR="00DF760C" w:rsidRDefault="00DF760C" w:rsidP="00DF760C">
      <w:pPr>
        <w:pStyle w:val="a3"/>
        <w:jc w:val="both"/>
      </w:pPr>
      <w:r>
        <w:t>При этом на протяжении рассматриваемого периода договоры заключались на срок, равный сроку договора кредитования плюс один рабочий день, а страховая сумма устанавливалась не менее размера ссудной задолженности, увеличенной на 10 процентов по всем видам страхования.</w:t>
      </w:r>
    </w:p>
    <w:p w:rsidR="00DF760C" w:rsidRDefault="00DF760C" w:rsidP="00DF760C">
      <w:pPr>
        <w:pStyle w:val="a3"/>
        <w:jc w:val="both"/>
      </w:pPr>
      <w:r>
        <w:t>Приказом от 22.03.2010 № 75 Управление возбудило в отношении Банка и Общества дело № 37-АМЗ-2010 по признакам нарушения антимонопольного законодательства.</w:t>
      </w:r>
    </w:p>
    <w:p w:rsidR="00DF760C" w:rsidRDefault="00DF760C" w:rsidP="00DF760C">
      <w:pPr>
        <w:pStyle w:val="a3"/>
        <w:jc w:val="both"/>
      </w:pPr>
      <w:r>
        <w:t>Решением Управления от 24.12.2010 действия Банка и Страховой организации признаны нарушающими пункты 5 и 8 части 1 статьи 11 Закона о защите конкуренции, действия Банка – нарушающими пункт 8 части 1 статьи 11 Закона о защите конкуренции.</w:t>
      </w:r>
    </w:p>
    <w:p w:rsidR="00DF760C" w:rsidRDefault="00DF760C" w:rsidP="00DF760C">
      <w:pPr>
        <w:pStyle w:val="a3"/>
        <w:jc w:val="both"/>
      </w:pPr>
      <w:proofErr w:type="gramStart"/>
      <w:r>
        <w:t>Управление выдало Банку предписание от 24.12.</w:t>
      </w:r>
      <w:r>
        <w:rPr>
          <w:rStyle w:val="g-highlight"/>
        </w:rPr>
        <w:t>2011</w:t>
      </w:r>
      <w:r>
        <w:t xml:space="preserve">, в соответствии с которым Банк обязан устранить нарушение пункта 5 части 1 статьи 11 Закона о защите конкуренции в части навязывания контрагенту условий договора, не выгодных для него, а именно до 4 марта </w:t>
      </w:r>
      <w:r>
        <w:rPr>
          <w:rStyle w:val="g-highlight"/>
        </w:rPr>
        <w:t>2011</w:t>
      </w:r>
      <w:r>
        <w:t xml:space="preserve"> года исключить из внутренних документов и действующих договоров страхования с заемщиками Банка условие об увеличении страховой суммы на 10 процентов</w:t>
      </w:r>
      <w:proofErr w:type="gramEnd"/>
      <w:r>
        <w:t xml:space="preserve"> по личному и титульному страхованию (пункт 1); </w:t>
      </w:r>
      <w:proofErr w:type="gramStart"/>
      <w:r>
        <w:t xml:space="preserve">прекратить нарушение пункта 8 части 1 статьи 11 Закона о защите конкуренции в части создания препятствий доступа на товарный рынок других страховых компаний, а именно до 4 марта </w:t>
      </w:r>
      <w:r>
        <w:rPr>
          <w:rStyle w:val="g-highlight"/>
        </w:rPr>
        <w:t>2011</w:t>
      </w:r>
      <w:r>
        <w:t xml:space="preserve"> года исключить из внутренних документов и действующих договоров страхования с </w:t>
      </w:r>
      <w:r>
        <w:lastRenderedPageBreak/>
        <w:t>заемщиками Банка условие о заключении договоров страхования на срок кредитования плюс один рабочий день;</w:t>
      </w:r>
      <w:proofErr w:type="gramEnd"/>
      <w:r>
        <w:t xml:space="preserve"> </w:t>
      </w:r>
      <w:proofErr w:type="gramStart"/>
      <w:r>
        <w:t>изменить порядок принятия Банком решений о возможности сотрудничества со страховыми компаниями в части требования представления заемщиком (потенциальным заемщиком) перечня документов, необходимых для проведения анализа на соответствие страховой компании требованиям Банка; изменить порядок принятия Банком решений о возможности сотрудничества со страховыми компаниями в части предоставления преимуществ страховым организациям, имеющих действующие международные кредитные рейтинги (пункт 2);</w:t>
      </w:r>
      <w:proofErr w:type="gramEnd"/>
      <w:r>
        <w:t xml:space="preserve"> </w:t>
      </w:r>
      <w:proofErr w:type="gramStart"/>
      <w:r>
        <w:t>довести до сведения заемщиков Банка, заключившим договоры ипотечного кредитования до 2010 года, информацию об изменении условий договоров кредитования и страхования с учетом внесенных изменений (пункт 3).</w:t>
      </w:r>
      <w:proofErr w:type="gramEnd"/>
    </w:p>
    <w:p w:rsidR="00DF760C" w:rsidRDefault="00DF760C" w:rsidP="00DF760C">
      <w:pPr>
        <w:pStyle w:val="a3"/>
        <w:jc w:val="both"/>
      </w:pPr>
      <w:r>
        <w:t>Банк и Общество не согласились с решением и предписанием и обратились в арбитражный суд с заявлениями о признании их недействительными.</w:t>
      </w:r>
    </w:p>
    <w:p w:rsidR="00DF760C" w:rsidRDefault="00DF760C" w:rsidP="00DF760C">
      <w:pPr>
        <w:pStyle w:val="a3"/>
        <w:jc w:val="both"/>
      </w:pPr>
      <w:r>
        <w:t>Рассмотрев кассационную жалобу, Федеральный арбитражный суд Волго-Вятского округа не нашел оснований для ее удовлетворения.</w:t>
      </w:r>
    </w:p>
    <w:p w:rsidR="00DF760C" w:rsidRDefault="00DF760C" w:rsidP="00DF760C">
      <w:pPr>
        <w:pStyle w:val="a3"/>
        <w:jc w:val="both"/>
      </w:pPr>
      <w:proofErr w:type="gramStart"/>
      <w:r>
        <w:t>В соответствии с частью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w:t>
      </w:r>
      <w:proofErr w:type="gramEnd"/>
      <w:r>
        <w:t xml:space="preserve">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rsidR="00DF760C" w:rsidRDefault="00DF760C" w:rsidP="00DF760C">
      <w:pPr>
        <w:pStyle w:val="a3"/>
        <w:jc w:val="both"/>
      </w:pPr>
      <w:r>
        <w:t>Основаниями для признания действий (бездействия) незаконными является несоответствие их закону или иному нормативному акту и нарушение прав и законных интересов заявителя в сфере предпринимательской и иной экономической деятельности.</w:t>
      </w:r>
    </w:p>
    <w:p w:rsidR="00DF760C" w:rsidRDefault="00DF760C" w:rsidP="00DF760C">
      <w:pPr>
        <w:pStyle w:val="a3"/>
        <w:jc w:val="both"/>
      </w:pPr>
      <w:proofErr w:type="gramStart"/>
      <w:r>
        <w:t>В силу пункта 8 части 1 статьи 11 Закона о конкуренции (в редакции, действовавшей на момент вынесения спорных актов)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созданию препятствий доступу на товарный рынок или выходу из товарного рынка другим хозяйствующим субъектам.</w:t>
      </w:r>
      <w:proofErr w:type="gramEnd"/>
    </w:p>
    <w:p w:rsidR="00DF760C" w:rsidRDefault="00DF760C" w:rsidP="00DF760C">
      <w:pPr>
        <w:pStyle w:val="a3"/>
        <w:jc w:val="both"/>
      </w:pPr>
      <w:r>
        <w:t xml:space="preserve">Как следует из материалов </w:t>
      </w:r>
      <w:proofErr w:type="gramStart"/>
      <w:r>
        <w:t>дела</w:t>
      </w:r>
      <w:proofErr w:type="gramEnd"/>
      <w:r>
        <w:t xml:space="preserve"> и установили суды, решением Правления Банка от 26.08.2010 согласно протоколу № 63 утвержден Порядок принятия Банком решений о возможности сотрудничества со страховыми компаниями (далее – Порядок). В Банке имеется перечень из 12 аккредитованных страховых компаний.</w:t>
      </w:r>
    </w:p>
    <w:p w:rsidR="00DF760C" w:rsidRDefault="00DF760C" w:rsidP="00DF760C">
      <w:pPr>
        <w:pStyle w:val="a3"/>
        <w:jc w:val="both"/>
      </w:pPr>
      <w:r>
        <w:t xml:space="preserve">В силу указанного Порядка при обращении заемщика, желающего заключить договор страхования со страховой организацией, не включенной в перечень страховых организаций, удовлетворяющих требованиям Банка,  необходимо представление  самостоятельно клиентом  информации о страховой компании. При этом большой </w:t>
      </w:r>
      <w:proofErr w:type="gramStart"/>
      <w:r>
        <w:t>объем</w:t>
      </w:r>
      <w:proofErr w:type="gramEnd"/>
      <w:r>
        <w:t xml:space="preserve"> и конфиденциальность данной информации фактически исключает возможность заключить договор со страховой компанией, не входящей в указанный перечень.</w:t>
      </w:r>
    </w:p>
    <w:p w:rsidR="00DF760C" w:rsidRDefault="00DF760C" w:rsidP="00DF760C">
      <w:pPr>
        <w:pStyle w:val="a3"/>
        <w:jc w:val="both"/>
      </w:pPr>
      <w:r>
        <w:lastRenderedPageBreak/>
        <w:t xml:space="preserve">Исследовав и оценив представленные в материалы дела доказательства в порядке статьи 71 Арбитражного процессуального кодекса Российской Федерации, </w:t>
      </w:r>
      <w:proofErr w:type="gramStart"/>
      <w:r>
        <w:t>суды</w:t>
      </w:r>
      <w:proofErr w:type="gramEnd"/>
      <w:r>
        <w:t xml:space="preserve"> пришли к выводу, что требование к объему информации, используемой для проведения анализа на соответствие требованиям Банка, предусматривает представление документов по 10 пунктам (включая учредительные документы страховой организации, в том числе устав, свидетельство о государственной регистрации, лицензию, справки из налогового органа, бухгалтерский баланс, отчеты об операциях перестрахования, отчеты о платежеспособности страховой организации и другие), и является крайне завышенным, обременительным и явно невыгодным для заемщика.</w:t>
      </w:r>
    </w:p>
    <w:p w:rsidR="00DF760C" w:rsidRDefault="00DF760C" w:rsidP="00DF760C">
      <w:pPr>
        <w:pStyle w:val="a3"/>
        <w:jc w:val="both"/>
      </w:pPr>
      <w:r>
        <w:t>Следовательно, вывод антимонопольного органа о нарушении Банком пункта 8 части 1 статьи 11 Закона о конкуренции обоснован; предписание в части исключения из порядка принятия Банком решений о возможности сотрудничества со страховыми компаниями  требования о представлении заемщиком документов, необходимых для проведения анализа на соответствие страховой компании требованиям Банка, правомерно.</w:t>
      </w:r>
    </w:p>
    <w:p w:rsidR="00DF760C" w:rsidRDefault="00DF760C" w:rsidP="00DF760C">
      <w:pPr>
        <w:pStyle w:val="a3"/>
        <w:jc w:val="both"/>
      </w:pPr>
      <w:r>
        <w:t>Также суды установили, что страховые организации, не имеющие действующие международных кредитных рейтингов, со стороны Банка получают дополнительные требования по отношению к страховым организациям, имеющим рейтинги.</w:t>
      </w:r>
    </w:p>
    <w:p w:rsidR="00DF760C" w:rsidRDefault="00DF760C" w:rsidP="00DF760C">
      <w:pPr>
        <w:pStyle w:val="a3"/>
        <w:jc w:val="both"/>
      </w:pPr>
      <w:r>
        <w:t>В части 2 статьи 13 Закона установлено, что Правительство Российской Федерации вправе определять случаи допустимости соглашений и согласованных действий, соответствующих условиям, указанным в пунктах 1 и 2 части 1 этой статьи (общие исключения).</w:t>
      </w:r>
    </w:p>
    <w:p w:rsidR="00DF760C" w:rsidRDefault="00DF760C" w:rsidP="00DF760C">
      <w:pPr>
        <w:pStyle w:val="a3"/>
        <w:jc w:val="both"/>
      </w:pPr>
      <w:r>
        <w:t>Общие исключения в отношении соглашений между кредитными и страховыми организациями утверждены постановлением Правительства Российской Федерации от 30.04.2009 № 386 «О случаях допустимости соглашений между кредитными и страховыми организациями» (далее – Общие исключения).</w:t>
      </w:r>
    </w:p>
    <w:p w:rsidR="00DF760C" w:rsidRDefault="00DF760C" w:rsidP="00DF760C">
      <w:pPr>
        <w:pStyle w:val="a3"/>
        <w:jc w:val="both"/>
      </w:pPr>
      <w:proofErr w:type="gramStart"/>
      <w:r>
        <w:t>В пункте 2 Общих исключений предусмотрено, что соглашение признается допустимым в случае, если кредитная организация, являющаяся стороной такого соглашения, принимает страховые полисы (договоры страхования) любой страховой организации, отвечающей требованиям кредитной организации к страховым организациям и условиям предоставления страховой услуги, и не предусматривает обязательного наличия у страховой организации рейтинга российских или международных рейтинговых агентств.</w:t>
      </w:r>
      <w:proofErr w:type="gramEnd"/>
    </w:p>
    <w:p w:rsidR="00DF760C" w:rsidRDefault="00DF760C" w:rsidP="00DF760C">
      <w:pPr>
        <w:pStyle w:val="a3"/>
        <w:jc w:val="both"/>
      </w:pPr>
      <w:r>
        <w:t xml:space="preserve">Пунктом 4.1 Порядка установлено, что для страховых организаций, имеющих действующий международный кредитный рейтинг определенного уровня, присвоенный как минимум одной из внешних рейтинговых агентств (не ниже </w:t>
      </w:r>
      <w:proofErr w:type="gramStart"/>
      <w:r>
        <w:t>ВВ</w:t>
      </w:r>
      <w:proofErr w:type="gramEnd"/>
      <w:r>
        <w:t xml:space="preserve"> – по шкале </w:t>
      </w:r>
      <w:proofErr w:type="spellStart"/>
      <w:r>
        <w:t>Standart</w:t>
      </w:r>
      <w:proofErr w:type="spellEnd"/>
      <w:r>
        <w:t xml:space="preserve"> &amp; </w:t>
      </w:r>
      <w:proofErr w:type="spellStart"/>
      <w:r>
        <w:t>Poor's</w:t>
      </w:r>
      <w:proofErr w:type="spellEnd"/>
      <w:r>
        <w:t xml:space="preserve">, не ниже </w:t>
      </w:r>
      <w:proofErr w:type="spellStart"/>
      <w:r>
        <w:t>Ва</w:t>
      </w:r>
      <w:proofErr w:type="spellEnd"/>
      <w:r>
        <w:t xml:space="preserve"> – по шкале </w:t>
      </w:r>
      <w:proofErr w:type="spellStart"/>
      <w:r>
        <w:t>Moody's</w:t>
      </w:r>
      <w:proofErr w:type="spellEnd"/>
      <w:r>
        <w:t xml:space="preserve"> </w:t>
      </w:r>
      <w:proofErr w:type="spellStart"/>
      <w:r>
        <w:t>Investprs</w:t>
      </w:r>
      <w:proofErr w:type="spellEnd"/>
      <w:r>
        <w:t xml:space="preserve"> </w:t>
      </w:r>
      <w:proofErr w:type="spellStart"/>
      <w:r>
        <w:t>Service</w:t>
      </w:r>
      <w:proofErr w:type="spellEnd"/>
      <w:r>
        <w:t xml:space="preserve">, не ниже ВВ – по шкале </w:t>
      </w:r>
      <w:proofErr w:type="spellStart"/>
      <w:r>
        <w:t>Fitch</w:t>
      </w:r>
      <w:proofErr w:type="spellEnd"/>
      <w:r>
        <w:t xml:space="preserve"> </w:t>
      </w:r>
      <w:proofErr w:type="spellStart"/>
      <w:r>
        <w:t>Rating</w:t>
      </w:r>
      <w:proofErr w:type="spellEnd"/>
      <w:r>
        <w:t xml:space="preserve">, не ниже </w:t>
      </w:r>
      <w:proofErr w:type="spellStart"/>
      <w:r>
        <w:t>bb</w:t>
      </w:r>
      <w:proofErr w:type="spellEnd"/>
      <w:r>
        <w:t xml:space="preserve"> – по шкале A.M. </w:t>
      </w:r>
      <w:proofErr w:type="spellStart"/>
      <w:r>
        <w:t>Best</w:t>
      </w:r>
      <w:proofErr w:type="spellEnd"/>
      <w:r>
        <w:t>), допускается наличие несоответствия не более трех из критериев, указанных в приложении № 3 к Порядку (кроме пункта 9); для прочих страховых организаций допускается несоответствие (не более чем на 1 процентный пункт) не более одного из критериев, указанных в приложении № 3 к Порядку (кроме пункта 9). При этом проведение в течение последних 12 календарных месяцев Банком оценки страховой организации на предмет ее соответствия требованиям Банка и признание ее несоответствующей таким требованиям является основанием для отказа в принятии договора страхования, заключенного с такой страховой организацией (пункты 2.1.2.2 и 2.1.2.3 Порядка).</w:t>
      </w:r>
    </w:p>
    <w:p w:rsidR="00DF760C" w:rsidRDefault="00DF760C" w:rsidP="00DF760C">
      <w:pPr>
        <w:pStyle w:val="a3"/>
        <w:jc w:val="both"/>
      </w:pPr>
      <w:r>
        <w:lastRenderedPageBreak/>
        <w:t>Таким образом, вывод судов о нарушении Банком пункта 8 части 1 статьи 11 Закона о конкуренции, а именно об ограничении доступа иных страховых компаний к работе по  страхованию заемщиков Банка, правомерен.</w:t>
      </w:r>
    </w:p>
    <w:p w:rsidR="00DF760C" w:rsidRDefault="00DF760C" w:rsidP="00DF760C">
      <w:pPr>
        <w:pStyle w:val="a3"/>
        <w:jc w:val="both"/>
      </w:pPr>
      <w:r>
        <w:t>Следовательно, решение и предписание антимонопольного органа в указанной части обоснованно признаны судами законными и обоснованными.</w:t>
      </w:r>
    </w:p>
    <w:p w:rsidR="00DF760C" w:rsidRDefault="00DF760C" w:rsidP="00DF760C">
      <w:pPr>
        <w:pStyle w:val="a3"/>
        <w:jc w:val="both"/>
      </w:pPr>
      <w:r>
        <w:t>При таких обстоятельствах кассационная жалоба не подлежит удовлетворению.</w:t>
      </w:r>
    </w:p>
    <w:p w:rsidR="00DF760C" w:rsidRDefault="00DF760C" w:rsidP="00DF760C">
      <w:pPr>
        <w:pStyle w:val="a3"/>
        <w:jc w:val="both"/>
      </w:pPr>
      <w:r>
        <w:t>В остальной части судебные акты не обжалуются.</w:t>
      </w:r>
    </w:p>
    <w:p w:rsidR="00DF760C" w:rsidRDefault="00DF760C" w:rsidP="00DF760C">
      <w:pPr>
        <w:pStyle w:val="a3"/>
        <w:jc w:val="both"/>
      </w:pPr>
      <w:r>
        <w:t>Доводы, изложенные в кассационной жалобе, были предметом рассмотрения в судебных инстанциях, получили надлежащую правовую оценку, не опровергают выводов судов и направлены на переоценку доказательств и установленных судами фактических обстоятельств дела, что в силу статьи 286 Арбитражного процессуального кодекса Российской Федерации не входит в компетенцию суда кассационной инстанции.</w:t>
      </w:r>
    </w:p>
    <w:p w:rsidR="00DF760C" w:rsidRDefault="00DF760C" w:rsidP="00DF760C">
      <w:pPr>
        <w:pStyle w:val="a3"/>
        <w:jc w:val="both"/>
      </w:pPr>
      <w:r>
        <w:t>Арбитражный суд Чувашской Республики и Первый арбитражный  апелляционный суд правильно применили нормы материального права и не допустили нарушений норм процессуального права,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w:t>
      </w:r>
    </w:p>
    <w:p w:rsidR="00DF760C" w:rsidRDefault="00DF760C" w:rsidP="00DF760C">
      <w:pPr>
        <w:pStyle w:val="a3"/>
        <w:jc w:val="both"/>
      </w:pPr>
      <w:r>
        <w:t>В соответствии со статьей 110 Арбитражного процессуального кодекса Российской Федерации расходы по уплате государственной пошлины с кассационной жалобы в сумме 1000 рублей относятся на заявителя. Излишне уплаченная государственная пошлина в сумме 1000 рублей подлежит возврату Банку из федерального бюджета на основании подпункта 1 пункта 1 статьи 333.40 Налогового кодекса Российской Федерации.</w:t>
      </w:r>
    </w:p>
    <w:p w:rsidR="00DF760C" w:rsidRDefault="00DF760C" w:rsidP="00DF760C">
      <w:pPr>
        <w:pStyle w:val="a3"/>
        <w:jc w:val="both"/>
      </w:pPr>
      <w:r>
        <w:t xml:space="preserve">Руководствуясь пунктом 1 части 1 статьи 287 и статьей 289 Арбитражного процессуального кодекса Российской Федерации, Федеральный арбитражный суд </w:t>
      </w:r>
      <w:r>
        <w:br/>
        <w:t>Волго-Вятского округа</w:t>
      </w:r>
    </w:p>
    <w:p w:rsidR="00DF760C" w:rsidRDefault="00DF760C" w:rsidP="00DF760C">
      <w:pPr>
        <w:pStyle w:val="a3"/>
        <w:jc w:val="both"/>
      </w:pPr>
      <w:r>
        <w:t> </w:t>
      </w:r>
    </w:p>
    <w:p w:rsidR="00DF760C" w:rsidRDefault="00DF760C" w:rsidP="00DF760C">
      <w:pPr>
        <w:pStyle w:val="a3"/>
        <w:jc w:val="both"/>
      </w:pPr>
      <w:r>
        <w:t xml:space="preserve">ПОСТАНОВИЛ: </w:t>
      </w:r>
    </w:p>
    <w:p w:rsidR="00DF760C" w:rsidRDefault="00DF760C" w:rsidP="00DF760C">
      <w:pPr>
        <w:pStyle w:val="a3"/>
        <w:jc w:val="both"/>
      </w:pPr>
      <w:r>
        <w:t> </w:t>
      </w:r>
    </w:p>
    <w:p w:rsidR="00DF760C" w:rsidRDefault="00DF760C" w:rsidP="00DF760C">
      <w:pPr>
        <w:pStyle w:val="a3"/>
        <w:jc w:val="both"/>
      </w:pPr>
      <w:r>
        <w:t>решение Арбитражного суда Чувашской Республики от 15.06.</w:t>
      </w:r>
      <w:r>
        <w:rPr>
          <w:rStyle w:val="g-highlight"/>
        </w:rPr>
        <w:t>2011</w:t>
      </w:r>
      <w:r>
        <w:t xml:space="preserve"> и постановление Первого арбитражного апелляционного суда от 16.03.2012 по делу № </w:t>
      </w:r>
      <w:r>
        <w:rPr>
          <w:rStyle w:val="g-highlight"/>
        </w:rPr>
        <w:t>А79</w:t>
      </w:r>
      <w:r>
        <w:t>-</w:t>
      </w:r>
      <w:r>
        <w:rPr>
          <w:rStyle w:val="g-highlight"/>
        </w:rPr>
        <w:t>877</w:t>
      </w:r>
      <w:r>
        <w:t>/</w:t>
      </w:r>
      <w:r>
        <w:rPr>
          <w:rStyle w:val="g-highlight"/>
        </w:rPr>
        <w:t>2011</w:t>
      </w:r>
      <w:r>
        <w:t xml:space="preserve"> оставить без изменения, кассационную жалобу Межрегионального коммерческого банка развития связи и информатики (открытое акционерное общество) – без удовлетворения. </w:t>
      </w:r>
    </w:p>
    <w:p w:rsidR="00DF760C" w:rsidRDefault="00DF760C" w:rsidP="00DF760C">
      <w:pPr>
        <w:pStyle w:val="a3"/>
        <w:jc w:val="both"/>
      </w:pPr>
      <w:r>
        <w:t>Возвратить Межрегиональному коммерческому банку развития связи и информатики (открытое акционерное общество) из федерального бюджета государственную пошлину с кассационной жалобы в сумме 1000 рублей, излишне уплаченную по платежному поручению от 09.06.2012 № 17645.</w:t>
      </w:r>
    </w:p>
    <w:p w:rsidR="00DF760C" w:rsidRDefault="00DF760C" w:rsidP="00DF760C">
      <w:pPr>
        <w:pStyle w:val="a3"/>
        <w:jc w:val="both"/>
      </w:pPr>
      <w:r>
        <w:t>Выдать справку на возврат государственной пошлины.</w:t>
      </w:r>
    </w:p>
    <w:p w:rsidR="00DF760C" w:rsidRDefault="00DF760C" w:rsidP="00DF760C">
      <w:pPr>
        <w:pStyle w:val="a3"/>
        <w:jc w:val="both"/>
      </w:pPr>
      <w:r>
        <w:lastRenderedPageBreak/>
        <w:t xml:space="preserve">          Постановление арбитражного суда кассационной инстанции вступает в законную силу со дня его принятия. </w:t>
      </w:r>
    </w:p>
    <w:p w:rsidR="00DF760C" w:rsidRDefault="00DF760C" w:rsidP="00DF760C">
      <w:pPr>
        <w:pStyle w:val="a3"/>
      </w:pPr>
      <w:r>
        <w:t> </w:t>
      </w:r>
    </w:p>
    <w:p w:rsidR="00DF760C" w:rsidRDefault="00DF760C" w:rsidP="00DF760C">
      <w:pPr>
        <w:pStyle w:val="a3"/>
      </w:pPr>
      <w:r>
        <w:t>Председательствующий</w:t>
      </w:r>
    </w:p>
    <w:p w:rsidR="00DF760C" w:rsidRDefault="00DF760C" w:rsidP="00DF760C">
      <w:pPr>
        <w:pStyle w:val="a3"/>
      </w:pPr>
      <w:r>
        <w:rPr>
          <w:b/>
          <w:bCs/>
        </w:rPr>
        <w:t> </w:t>
      </w:r>
    </w:p>
    <w:p w:rsidR="00DF760C" w:rsidRDefault="00DF760C" w:rsidP="00DF760C">
      <w:pPr>
        <w:pStyle w:val="a3"/>
      </w:pPr>
      <w:r>
        <w:t>О.В. Александрова</w:t>
      </w:r>
    </w:p>
    <w:p w:rsidR="00DF760C" w:rsidRDefault="00DF760C" w:rsidP="00DF760C">
      <w:pPr>
        <w:pStyle w:val="a3"/>
      </w:pPr>
      <w:r>
        <w:rPr>
          <w:b/>
          <w:bCs/>
        </w:rPr>
        <w:t> </w:t>
      </w:r>
    </w:p>
    <w:p w:rsidR="00DF760C" w:rsidRDefault="00DF760C" w:rsidP="00DF760C">
      <w:pPr>
        <w:pStyle w:val="a3"/>
      </w:pPr>
      <w:r>
        <w:rPr>
          <w:b/>
          <w:bCs/>
        </w:rPr>
        <w:t> </w:t>
      </w:r>
    </w:p>
    <w:p w:rsidR="00DF760C" w:rsidRDefault="00DF760C" w:rsidP="00DF760C">
      <w:pPr>
        <w:pStyle w:val="a3"/>
      </w:pPr>
      <w:r>
        <w:rPr>
          <w:b/>
          <w:bCs/>
        </w:rPr>
        <w:t> </w:t>
      </w:r>
    </w:p>
    <w:p w:rsidR="00DF760C" w:rsidRDefault="00DF760C" w:rsidP="00DF760C">
      <w:pPr>
        <w:pStyle w:val="a3"/>
      </w:pPr>
      <w:r>
        <w:t>Судьи</w:t>
      </w:r>
    </w:p>
    <w:p w:rsidR="00DF760C" w:rsidRDefault="00DF760C" w:rsidP="00DF760C">
      <w:pPr>
        <w:pStyle w:val="a3"/>
      </w:pPr>
      <w:r>
        <w:rPr>
          <w:b/>
          <w:bCs/>
        </w:rPr>
        <w:t> </w:t>
      </w:r>
    </w:p>
    <w:p w:rsidR="00DF760C" w:rsidRDefault="00DF760C" w:rsidP="00DF760C">
      <w:pPr>
        <w:pStyle w:val="a3"/>
      </w:pPr>
      <w:r>
        <w:t xml:space="preserve">И.Л. </w:t>
      </w:r>
      <w:proofErr w:type="spellStart"/>
      <w:r>
        <w:t>Забурдаева</w:t>
      </w:r>
      <w:proofErr w:type="spellEnd"/>
    </w:p>
    <w:p w:rsidR="00DF760C" w:rsidRDefault="00DF760C" w:rsidP="00DF760C">
      <w:pPr>
        <w:pStyle w:val="a3"/>
      </w:pPr>
      <w:r>
        <w:t xml:space="preserve">А.И. Чиграков </w:t>
      </w:r>
    </w:p>
    <w:p w:rsidR="00DF760C" w:rsidRDefault="00DF760C" w:rsidP="00DF760C">
      <w:pPr>
        <w:pStyle w:val="a3"/>
      </w:pPr>
      <w:r>
        <w:t> </w:t>
      </w:r>
    </w:p>
    <w:p w:rsidR="00EB707A" w:rsidRDefault="00EB707A"/>
    <w:sectPr w:rsidR="00EB7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53"/>
    <w:rsid w:val="00DF760C"/>
    <w:rsid w:val="00EB707A"/>
    <w:rsid w:val="00F35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DF7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DF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3218</Words>
  <Characters>18345</Characters>
  <Application>Microsoft Office Word</Application>
  <DocSecurity>0</DocSecurity>
  <Lines>152</Lines>
  <Paragraphs>43</Paragraphs>
  <ScaleCrop>false</ScaleCrop>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2012-08-14T04:55:00Z</dcterms:created>
  <dcterms:modified xsi:type="dcterms:W3CDTF">2012-08-14T04:58:00Z</dcterms:modified>
</cp:coreProperties>
</file>