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55" w:rsidRPr="00F95CF5" w:rsidRDefault="00724955" w:rsidP="00C44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антимонопольного законодательства</w:t>
      </w:r>
    </w:p>
    <w:p w:rsidR="00724955" w:rsidRPr="00F95CF5" w:rsidRDefault="00724955" w:rsidP="00C44B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955" w:rsidRPr="00F95CF5" w:rsidRDefault="007F197C" w:rsidP="00C44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9267A" w:rsidRPr="00F95C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4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2017</w:t>
      </w:r>
      <w:r w:rsidR="0079267A"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24955"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724955"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</w:t>
      </w:r>
      <w:r w:rsidR="003179CB"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>ашское</w:t>
      </w:r>
      <w:proofErr w:type="gramEnd"/>
      <w:r w:rsidR="003179CB"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 поступили</w:t>
      </w:r>
      <w:r w:rsidR="00FB2343"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EDD">
        <w:rPr>
          <w:rFonts w:ascii="Times New Roman" w:eastAsia="Times New Roman" w:hAnsi="Times New Roman" w:cs="Times New Roman"/>
          <w:sz w:val="28"/>
          <w:szCs w:val="28"/>
          <w:lang w:eastAsia="ru-RU"/>
        </w:rPr>
        <w:t>258 заявлений</w:t>
      </w:r>
      <w:r w:rsidR="00724955"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нарушениях антим</w:t>
      </w:r>
      <w:r w:rsidR="00B7388B"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онопольного законодательства (</w:t>
      </w:r>
      <w:r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9267A" w:rsidRPr="00F95C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4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2016</w:t>
      </w:r>
      <w:r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F96EDD">
        <w:rPr>
          <w:rFonts w:ascii="Times New Roman" w:eastAsia="Times New Roman" w:hAnsi="Times New Roman" w:cs="Times New Roman"/>
          <w:sz w:val="28"/>
          <w:szCs w:val="28"/>
          <w:lang w:eastAsia="ru-RU"/>
        </w:rPr>
        <w:t>373</w:t>
      </w:r>
      <w:r w:rsidR="00724955"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393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на 31%.</w:t>
      </w:r>
    </w:p>
    <w:p w:rsidR="00AA1971" w:rsidRPr="00F95CF5" w:rsidRDefault="00AA1971" w:rsidP="00C44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>%)  по-прежнему не довольны работой органов власти (статьи 15, 16). Чаще всего предприниматели и организации жалуются на создание преимущественных условий деятельности на рынке землепользования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2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рынке пассажирских перевозок. Нарушения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B23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на рынке по передаче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теплоснабжения</w:t>
      </w:r>
      <w:r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за этот период по статье 15 Закона о защите конкуренции (запрет на ограничивающие конкуренцию акты и действия (бездействие) органов власти)  и по статье 16 (запрет на ограничивающие конкуренцию соглашения и согласованные действия органов власти) специалисты антимонопольного органа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выдали 18</w:t>
      </w:r>
      <w:r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предупреждений, из 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остальные в стадии исполнения.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возбудило 8 антимонопольных дел, по двум уже вынесены решения. </w:t>
      </w:r>
    </w:p>
    <w:p w:rsidR="000E5462" w:rsidRPr="00F95CF5" w:rsidRDefault="00F96EDD" w:rsidP="00C44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E94373"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заявителей</w:t>
      </w:r>
      <w:r w:rsidR="00993D67"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905E6"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93D67"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94373"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указывали</w:t>
      </w:r>
      <w:r w:rsidR="00993D67"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злоупотребления хозсубъектами доминирующим положением (статья 10)</w:t>
      </w:r>
      <w:r w:rsidR="003C480C"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r w:rsidR="003C480C" w:rsidRPr="00F95C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2016</w:t>
      </w:r>
      <w:r w:rsidR="003C480C"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="0049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создание дискриминационных условий на рынке пассажирских перевозок; навязывание невыгодных условий договора; установление </w:t>
      </w:r>
      <w:r w:rsidR="007378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необоснованно высоких</w:t>
      </w:r>
      <w:r w:rsidR="0049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 </w:t>
      </w:r>
      <w:r w:rsidR="007378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9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7378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сбору и транспортировке ТКО</w:t>
      </w:r>
      <w:r w:rsidR="00494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24955" w:rsidRPr="00F95CF5" w:rsidRDefault="006F39A0" w:rsidP="00C44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69DF"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3179CB"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три месяца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поступили</w:t>
      </w:r>
      <w:r w:rsidR="007D33A9"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7D33A9"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</w:t>
      </w:r>
      <w:r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недобросовестной конкуренции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Заявители жаловались на использование товарного знака без согласия правообладателя, продажу фальсифицированной продукции, не использование перевозчиками терминалов безналичной оплаты, осуществление перевозок по заниженному тарифу</w:t>
      </w:r>
      <w:r w:rsidR="007D33A9"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718D" w:rsidRPr="00F95CF5" w:rsidRDefault="001D6515" w:rsidP="00C44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5CF5">
        <w:rPr>
          <w:rFonts w:ascii="Times New Roman" w:hAnsi="Times New Roman" w:cs="Times New Roman"/>
          <w:sz w:val="28"/>
          <w:szCs w:val="28"/>
        </w:rPr>
        <w:t>В порядке статьи</w:t>
      </w:r>
      <w:r w:rsidR="0095718D" w:rsidRPr="00F95CF5">
        <w:rPr>
          <w:rFonts w:ascii="Times New Roman" w:hAnsi="Times New Roman" w:cs="Times New Roman"/>
          <w:sz w:val="28"/>
          <w:szCs w:val="28"/>
        </w:rPr>
        <w:t xml:space="preserve"> 18.1 Закона о защите конкуренции</w:t>
      </w:r>
      <w:r w:rsidRPr="00F95CF5">
        <w:rPr>
          <w:rFonts w:ascii="Times New Roman" w:hAnsi="Times New Roman" w:cs="Times New Roman"/>
          <w:sz w:val="28"/>
          <w:szCs w:val="28"/>
        </w:rPr>
        <w:t xml:space="preserve"> (ускоренный</w:t>
      </w:r>
      <w:r w:rsidR="0095718D" w:rsidRPr="00F95CF5">
        <w:rPr>
          <w:rFonts w:ascii="Times New Roman" w:hAnsi="Times New Roman" w:cs="Times New Roman"/>
          <w:sz w:val="28"/>
          <w:szCs w:val="28"/>
        </w:rPr>
        <w:t xml:space="preserve"> порядок рассмотрения антимонопольным органом жалоб на нарушение процедуры торгов и порядка заключения договоров</w:t>
      </w:r>
      <w:r w:rsidRPr="00F95CF5">
        <w:rPr>
          <w:rFonts w:ascii="Times New Roman" w:hAnsi="Times New Roman" w:cs="Times New Roman"/>
          <w:sz w:val="28"/>
          <w:szCs w:val="28"/>
        </w:rPr>
        <w:t>) з</w:t>
      </w:r>
      <w:r w:rsidR="0095718D" w:rsidRPr="00F95CF5">
        <w:rPr>
          <w:rFonts w:ascii="Times New Roman" w:hAnsi="Times New Roman" w:cs="Times New Roman"/>
          <w:sz w:val="28"/>
          <w:szCs w:val="28"/>
        </w:rPr>
        <w:t xml:space="preserve">а отчетный период </w:t>
      </w:r>
      <w:r w:rsidR="00C44BFB">
        <w:rPr>
          <w:rFonts w:ascii="Times New Roman" w:hAnsi="Times New Roman" w:cs="Times New Roman"/>
          <w:sz w:val="28"/>
          <w:szCs w:val="28"/>
        </w:rPr>
        <w:t>поступили 15 заявлений</w:t>
      </w:r>
      <w:r w:rsidR="00475657" w:rsidRPr="00F95CF5">
        <w:rPr>
          <w:rFonts w:ascii="Times New Roman" w:hAnsi="Times New Roman" w:cs="Times New Roman"/>
          <w:sz w:val="28"/>
          <w:szCs w:val="28"/>
        </w:rPr>
        <w:t xml:space="preserve"> </w:t>
      </w:r>
      <w:r w:rsidR="00475657"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 w:rsidR="00475657" w:rsidRPr="00F95C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4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2016</w:t>
      </w:r>
      <w:r w:rsidR="00A01300"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</w:t>
      </w:r>
      <w:r w:rsidR="007D33A9"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300"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75657"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5718D" w:rsidRPr="00F95CF5">
        <w:rPr>
          <w:rFonts w:ascii="Times New Roman" w:hAnsi="Times New Roman" w:cs="Times New Roman"/>
          <w:sz w:val="28"/>
          <w:szCs w:val="28"/>
        </w:rPr>
        <w:t>, по итогам их расс</w:t>
      </w:r>
      <w:r w:rsidR="00C44BFB">
        <w:rPr>
          <w:rFonts w:ascii="Times New Roman" w:hAnsi="Times New Roman" w:cs="Times New Roman"/>
          <w:sz w:val="28"/>
          <w:szCs w:val="28"/>
        </w:rPr>
        <w:t>мотрения Управление возбудило 11</w:t>
      </w:r>
      <w:r w:rsidR="0095718D" w:rsidRPr="00F95CF5">
        <w:rPr>
          <w:rFonts w:ascii="Times New Roman" w:hAnsi="Times New Roman" w:cs="Times New Roman"/>
          <w:sz w:val="28"/>
          <w:szCs w:val="28"/>
        </w:rPr>
        <w:t xml:space="preserve"> дел</w:t>
      </w:r>
      <w:r w:rsidR="00475657" w:rsidRPr="00F95CF5">
        <w:rPr>
          <w:rFonts w:ascii="Times New Roman" w:hAnsi="Times New Roman" w:cs="Times New Roman"/>
          <w:sz w:val="28"/>
          <w:szCs w:val="28"/>
        </w:rPr>
        <w:t xml:space="preserve"> </w:t>
      </w:r>
      <w:r w:rsidR="00475657"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 w:rsidR="00475657" w:rsidRPr="00F95C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4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2016</w:t>
      </w:r>
      <w:r w:rsidR="00475657"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</w:t>
      </w:r>
      <w:r w:rsidR="00F47C15"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BF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75657"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44BFB">
        <w:rPr>
          <w:rFonts w:ascii="Times New Roman" w:hAnsi="Times New Roman" w:cs="Times New Roman"/>
          <w:sz w:val="28"/>
          <w:szCs w:val="28"/>
        </w:rPr>
        <w:t xml:space="preserve"> и выдало 5 предписаний</w:t>
      </w:r>
      <w:r w:rsidR="00475657" w:rsidRPr="00F95CF5">
        <w:rPr>
          <w:rFonts w:ascii="Times New Roman" w:hAnsi="Times New Roman" w:cs="Times New Roman"/>
          <w:sz w:val="28"/>
          <w:szCs w:val="28"/>
        </w:rPr>
        <w:t xml:space="preserve"> </w:t>
      </w:r>
      <w:r w:rsidR="00475657"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 w:rsidR="00475657" w:rsidRPr="00F95C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4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2016</w:t>
      </w:r>
      <w:r w:rsidR="00475657"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</w:t>
      </w:r>
      <w:r w:rsidR="00F47C15"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B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75657"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5718D" w:rsidRPr="00F95C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C480C" w:rsidRPr="00F95CF5" w:rsidRDefault="007A2125" w:rsidP="00C44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</w:t>
      </w:r>
      <w:r w:rsidR="00A01300"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D33A9"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ответственности привлечены </w:t>
      </w:r>
      <w:r w:rsidR="00C44BF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B68F4"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F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bookmarkStart w:id="0" w:name="_GoBack"/>
      <w:bookmarkEnd w:id="0"/>
      <w:r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(</w:t>
      </w:r>
      <w:r w:rsidR="00F934FF"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934FF" w:rsidRPr="00F95C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4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2016</w:t>
      </w:r>
      <w:r w:rsidR="003C480C"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3469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Общая сумма штрафов, вынесенных в результате рассмотрения</w:t>
      </w:r>
      <w:r w:rsidR="00720EA4"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дел, </w:t>
      </w:r>
      <w:r w:rsidR="00583157"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равна</w:t>
      </w:r>
      <w:r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BFB">
        <w:rPr>
          <w:rFonts w:ascii="Times New Roman" w:eastAsia="Times New Roman" w:hAnsi="Times New Roman" w:cs="Times New Roman"/>
          <w:sz w:val="28"/>
          <w:szCs w:val="28"/>
          <w:lang w:eastAsia="ru-RU"/>
        </w:rPr>
        <w:t>62 тыс. рублей</w:t>
      </w:r>
      <w:r w:rsidR="00720EA4"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4FF"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 w:rsidR="00F934FF" w:rsidRPr="00F95C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934FF"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EC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2016</w:t>
      </w:r>
      <w:r w:rsidR="003C480C"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C44BFB">
        <w:rPr>
          <w:rFonts w:ascii="Times New Roman" w:eastAsia="Times New Roman" w:hAnsi="Times New Roman" w:cs="Times New Roman"/>
          <w:sz w:val="28"/>
          <w:szCs w:val="28"/>
          <w:lang w:eastAsia="ru-RU"/>
        </w:rPr>
        <w:t>941 тыс.</w:t>
      </w:r>
      <w:r w:rsidR="003C480C"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B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F934FF"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 w:rsidR="007D33A9"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BFB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724955"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на д</w:t>
      </w:r>
      <w:r w:rsidR="0079267A"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олжностные лица органов власти</w:t>
      </w:r>
      <w:r w:rsidR="00F934FF"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r w:rsidR="00F934FF" w:rsidRPr="00F95C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5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2016</w:t>
      </w:r>
      <w:r w:rsidR="00F934FF"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F52EC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04D7C"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F934FF"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9267A" w:rsidRPr="00F95C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80C" w:rsidRPr="003C480C" w:rsidRDefault="003C480C" w:rsidP="003C480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C480C" w:rsidRPr="003C480C" w:rsidSect="00C44BFB">
          <w:pgSz w:w="11906" w:h="16838"/>
          <w:pgMar w:top="993" w:right="991" w:bottom="426" w:left="1418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452"/>
        <w:tblW w:w="14635" w:type="dxa"/>
        <w:tblLayout w:type="fixed"/>
        <w:tblLook w:val="0000" w:firstRow="0" w:lastRow="0" w:firstColumn="0" w:lastColumn="0" w:noHBand="0" w:noVBand="0"/>
      </w:tblPr>
      <w:tblGrid>
        <w:gridCol w:w="1668"/>
        <w:gridCol w:w="992"/>
        <w:gridCol w:w="992"/>
        <w:gridCol w:w="992"/>
        <w:gridCol w:w="1134"/>
        <w:gridCol w:w="993"/>
        <w:gridCol w:w="992"/>
        <w:gridCol w:w="1276"/>
        <w:gridCol w:w="1134"/>
        <w:gridCol w:w="1275"/>
        <w:gridCol w:w="993"/>
        <w:gridCol w:w="1134"/>
        <w:gridCol w:w="1060"/>
      </w:tblGrid>
      <w:tr w:rsidR="00E25CE2" w:rsidRPr="000167CF" w:rsidTr="003469B8">
        <w:trPr>
          <w:trHeight w:val="89"/>
        </w:trPr>
        <w:tc>
          <w:tcPr>
            <w:tcW w:w="1668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E25CE2" w:rsidRPr="003469B8" w:rsidRDefault="00E25CE2" w:rsidP="006C6C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9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Виды нарушений антимонопольного законодательства (статья/часть)</w:t>
            </w:r>
          </w:p>
        </w:tc>
        <w:tc>
          <w:tcPr>
            <w:tcW w:w="6095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25CE2" w:rsidRPr="003469B8" w:rsidRDefault="00E25CE2" w:rsidP="006C6C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9B8">
              <w:rPr>
                <w:rFonts w:ascii="Times New Roman" w:hAnsi="Times New Roman" w:cs="Times New Roman"/>
                <w:bCs/>
                <w:sz w:val="20"/>
                <w:szCs w:val="20"/>
              </w:rPr>
              <w:t>1 квартал 2016 г.</w:t>
            </w:r>
          </w:p>
        </w:tc>
        <w:tc>
          <w:tcPr>
            <w:tcW w:w="6872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E25CE2" w:rsidRPr="003469B8" w:rsidRDefault="003469B8" w:rsidP="006C6C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9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квартал 2017</w:t>
            </w:r>
            <w:r w:rsidR="00E25CE2" w:rsidRPr="003469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3469B8" w:rsidRPr="000167CF" w:rsidTr="003469B8">
        <w:trPr>
          <w:trHeight w:val="440"/>
        </w:trPr>
        <w:tc>
          <w:tcPr>
            <w:tcW w:w="1668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469B8" w:rsidRPr="003469B8" w:rsidRDefault="003469B8" w:rsidP="006C6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9B8">
              <w:rPr>
                <w:rFonts w:ascii="Times New Roman" w:hAnsi="Times New Roman" w:cs="Times New Roman"/>
                <w:sz w:val="16"/>
                <w:szCs w:val="16"/>
              </w:rPr>
              <w:t>Поступило заявлений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9B8">
              <w:rPr>
                <w:rFonts w:ascii="Times New Roman" w:hAnsi="Times New Roman" w:cs="Times New Roman"/>
                <w:sz w:val="16"/>
                <w:szCs w:val="16"/>
              </w:rPr>
              <w:t>Выдано предупреждений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9B8">
              <w:rPr>
                <w:rFonts w:ascii="Times New Roman" w:hAnsi="Times New Roman" w:cs="Times New Roman"/>
                <w:sz w:val="16"/>
                <w:szCs w:val="16"/>
              </w:rPr>
              <w:t>Исполнено предупреждений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9B8">
              <w:rPr>
                <w:rFonts w:ascii="Times New Roman" w:hAnsi="Times New Roman" w:cs="Times New Roman"/>
                <w:sz w:val="16"/>
                <w:szCs w:val="16"/>
              </w:rPr>
              <w:t>Возбуждено дел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9B8">
              <w:rPr>
                <w:rFonts w:ascii="Times New Roman" w:hAnsi="Times New Roman" w:cs="Times New Roman"/>
                <w:sz w:val="16"/>
                <w:szCs w:val="16"/>
              </w:rPr>
              <w:t>Вынесено решений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9B8">
              <w:rPr>
                <w:rFonts w:ascii="Times New Roman" w:hAnsi="Times New Roman" w:cs="Times New Roman"/>
                <w:sz w:val="16"/>
                <w:szCs w:val="16"/>
              </w:rPr>
              <w:t>Выдано предписаний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9B8">
              <w:rPr>
                <w:rFonts w:ascii="Times New Roman" w:hAnsi="Times New Roman" w:cs="Times New Roman"/>
                <w:sz w:val="16"/>
                <w:szCs w:val="16"/>
              </w:rPr>
              <w:t>Поступило заявлений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9B8">
              <w:rPr>
                <w:rFonts w:ascii="Times New Roman" w:hAnsi="Times New Roman" w:cs="Times New Roman"/>
                <w:sz w:val="16"/>
                <w:szCs w:val="16"/>
              </w:rPr>
              <w:t>Выдано предупреждений</w:t>
            </w: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9B8">
              <w:rPr>
                <w:rFonts w:ascii="Times New Roman" w:hAnsi="Times New Roman" w:cs="Times New Roman"/>
                <w:sz w:val="16"/>
                <w:szCs w:val="16"/>
              </w:rPr>
              <w:t>Исполнено предупреждений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9B8">
              <w:rPr>
                <w:rFonts w:ascii="Times New Roman" w:hAnsi="Times New Roman" w:cs="Times New Roman"/>
                <w:sz w:val="16"/>
                <w:szCs w:val="16"/>
              </w:rPr>
              <w:t>Возбуждено дел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9B8">
              <w:rPr>
                <w:rFonts w:ascii="Times New Roman" w:hAnsi="Times New Roman" w:cs="Times New Roman"/>
                <w:sz w:val="16"/>
                <w:szCs w:val="16"/>
              </w:rPr>
              <w:t>Вынесено решений</w:t>
            </w:r>
          </w:p>
        </w:tc>
        <w:tc>
          <w:tcPr>
            <w:tcW w:w="1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9B8">
              <w:rPr>
                <w:rFonts w:ascii="Times New Roman" w:hAnsi="Times New Roman" w:cs="Times New Roman"/>
                <w:sz w:val="16"/>
                <w:szCs w:val="16"/>
              </w:rPr>
              <w:t>Выдано предписаний</w:t>
            </w:r>
          </w:p>
        </w:tc>
      </w:tr>
      <w:tr w:rsidR="003469B8" w:rsidRPr="000167CF" w:rsidTr="003469B8">
        <w:trPr>
          <w:trHeight w:val="759"/>
        </w:trPr>
        <w:tc>
          <w:tcPr>
            <w:tcW w:w="16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3469B8" w:rsidRPr="003469B8" w:rsidRDefault="003469B8" w:rsidP="006C6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9B8">
              <w:rPr>
                <w:rFonts w:ascii="Times New Roman" w:hAnsi="Times New Roman" w:cs="Times New Roman"/>
                <w:b/>
                <w:sz w:val="20"/>
                <w:szCs w:val="20"/>
              </w:rPr>
              <w:t>ст.10</w:t>
            </w:r>
            <w:r w:rsidRPr="003469B8">
              <w:rPr>
                <w:rFonts w:ascii="Times New Roman" w:hAnsi="Times New Roman" w:cs="Times New Roman"/>
                <w:sz w:val="20"/>
                <w:szCs w:val="20"/>
              </w:rPr>
              <w:t xml:space="preserve"> Запрет на злоупотребление х/с доминирующим положением 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9B8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9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9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9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9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69B8" w:rsidRPr="000167CF" w:rsidTr="003469B8">
        <w:trPr>
          <w:trHeight w:val="1395"/>
        </w:trPr>
        <w:tc>
          <w:tcPr>
            <w:tcW w:w="16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3469B8" w:rsidRPr="003469B8" w:rsidRDefault="003469B8" w:rsidP="00676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9B8">
              <w:rPr>
                <w:rFonts w:ascii="Times New Roman" w:hAnsi="Times New Roman" w:cs="Times New Roman"/>
                <w:b/>
                <w:sz w:val="20"/>
                <w:szCs w:val="20"/>
              </w:rPr>
              <w:t>ст.11</w:t>
            </w:r>
            <w:r w:rsidRPr="003469B8">
              <w:rPr>
                <w:rFonts w:ascii="Times New Roman" w:hAnsi="Times New Roman" w:cs="Times New Roman"/>
                <w:sz w:val="20"/>
                <w:szCs w:val="20"/>
              </w:rPr>
              <w:t xml:space="preserve"> Запрет на ограничивающие конкуренцию соглашения или согласованные действия х/</w:t>
            </w:r>
            <w:proofErr w:type="gramStart"/>
            <w:r w:rsidRPr="003469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9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48B0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8B0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48B0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48B0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48B0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69B8" w:rsidRPr="000167CF" w:rsidTr="003469B8">
        <w:trPr>
          <w:trHeight w:val="283"/>
        </w:trPr>
        <w:tc>
          <w:tcPr>
            <w:tcW w:w="16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3469B8" w:rsidRPr="003469B8" w:rsidRDefault="003469B8" w:rsidP="006C6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9B8">
              <w:rPr>
                <w:rFonts w:ascii="Times New Roman" w:hAnsi="Times New Roman" w:cs="Times New Roman"/>
                <w:b/>
                <w:sz w:val="20"/>
                <w:szCs w:val="20"/>
              </w:rPr>
              <w:t>ст. 11.1</w:t>
            </w:r>
            <w:r w:rsidRPr="003469B8">
              <w:rPr>
                <w:rFonts w:ascii="Times New Roman" w:hAnsi="Times New Roman" w:cs="Times New Roman"/>
                <w:sz w:val="20"/>
                <w:szCs w:val="20"/>
              </w:rPr>
              <w:t xml:space="preserve"> Запрет на ограничивающие  конкуренцию согласованные действия х/</w:t>
            </w:r>
            <w:proofErr w:type="gramStart"/>
            <w:r w:rsidRPr="003469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469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9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48B0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48B0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48B0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48B0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69B8" w:rsidRPr="000167CF" w:rsidTr="003469B8">
        <w:trPr>
          <w:trHeight w:val="177"/>
        </w:trPr>
        <w:tc>
          <w:tcPr>
            <w:tcW w:w="16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3469B8" w:rsidRPr="003469B8" w:rsidRDefault="003469B8" w:rsidP="006C6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9B8">
              <w:rPr>
                <w:rFonts w:ascii="Times New Roman" w:hAnsi="Times New Roman" w:cs="Times New Roman"/>
                <w:b/>
                <w:sz w:val="20"/>
                <w:szCs w:val="20"/>
              </w:rPr>
              <w:t>ст.14</w:t>
            </w:r>
            <w:r w:rsidRPr="003469B8">
              <w:rPr>
                <w:rFonts w:ascii="Times New Roman" w:hAnsi="Times New Roman" w:cs="Times New Roman"/>
                <w:sz w:val="20"/>
                <w:szCs w:val="20"/>
              </w:rPr>
              <w:t xml:space="preserve"> Запрет на недобросовестную конкуренцию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9B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9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469B8" w:rsidRPr="003469B8" w:rsidRDefault="003469B8" w:rsidP="006C6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9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9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9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48B0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69B8" w:rsidRPr="000167CF" w:rsidTr="003469B8">
        <w:trPr>
          <w:trHeight w:val="263"/>
        </w:trPr>
        <w:tc>
          <w:tcPr>
            <w:tcW w:w="16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3469B8" w:rsidRPr="003469B8" w:rsidRDefault="003469B8" w:rsidP="006C6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9B8">
              <w:rPr>
                <w:rFonts w:ascii="Times New Roman" w:hAnsi="Times New Roman" w:cs="Times New Roman"/>
                <w:b/>
                <w:sz w:val="20"/>
                <w:szCs w:val="20"/>
              </w:rPr>
              <w:t>ст.15</w:t>
            </w:r>
            <w:r w:rsidRPr="003469B8">
              <w:rPr>
                <w:rFonts w:ascii="Times New Roman" w:hAnsi="Times New Roman" w:cs="Times New Roman"/>
                <w:sz w:val="20"/>
                <w:szCs w:val="20"/>
              </w:rPr>
              <w:t xml:space="preserve"> Запрет на ограничивающие конкуренцию акты и действия (бездействие) </w:t>
            </w:r>
            <w:r w:rsidRPr="003469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 власти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9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9B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9B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9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9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69B8" w:rsidRPr="000167CF" w:rsidTr="003469B8">
        <w:trPr>
          <w:trHeight w:val="348"/>
        </w:trPr>
        <w:tc>
          <w:tcPr>
            <w:tcW w:w="16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3469B8" w:rsidRPr="003469B8" w:rsidRDefault="003469B8" w:rsidP="006C6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9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ст.16</w:t>
            </w:r>
            <w:r w:rsidRPr="003469B8">
              <w:rPr>
                <w:rFonts w:ascii="Times New Roman" w:hAnsi="Times New Roman" w:cs="Times New Roman"/>
                <w:sz w:val="20"/>
                <w:szCs w:val="20"/>
              </w:rPr>
              <w:t xml:space="preserve"> Запрет на ограничивающие конкуренцию соглашения и согласованные действия органов власти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9B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469B8" w:rsidRDefault="003469B8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8B0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48B0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9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469B8" w:rsidRDefault="003469B8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8B0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69B8" w:rsidRPr="000167CF" w:rsidTr="003469B8">
        <w:trPr>
          <w:trHeight w:val="177"/>
        </w:trPr>
        <w:tc>
          <w:tcPr>
            <w:tcW w:w="16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3469B8" w:rsidRPr="003469B8" w:rsidRDefault="003469B8" w:rsidP="006C6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9B8">
              <w:rPr>
                <w:rFonts w:ascii="Times New Roman" w:hAnsi="Times New Roman" w:cs="Times New Roman"/>
                <w:b/>
                <w:sz w:val="20"/>
                <w:szCs w:val="20"/>
              </w:rPr>
              <w:t>ст.17</w:t>
            </w:r>
            <w:r w:rsidRPr="003469B8">
              <w:rPr>
                <w:rFonts w:ascii="Times New Roman" w:hAnsi="Times New Roman" w:cs="Times New Roman"/>
                <w:sz w:val="20"/>
                <w:szCs w:val="20"/>
              </w:rPr>
              <w:t xml:space="preserve"> Антимонопольные требования к торгам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9B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469B8" w:rsidRDefault="003469B8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8B0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9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9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69B8" w:rsidRPr="000167CF" w:rsidTr="003469B8">
        <w:trPr>
          <w:trHeight w:val="1416"/>
        </w:trPr>
        <w:tc>
          <w:tcPr>
            <w:tcW w:w="16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3469B8" w:rsidRPr="003469B8" w:rsidRDefault="003469B8" w:rsidP="006C6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9B8">
              <w:rPr>
                <w:rFonts w:ascii="Times New Roman" w:hAnsi="Times New Roman" w:cs="Times New Roman"/>
                <w:b/>
                <w:sz w:val="18"/>
                <w:szCs w:val="18"/>
              </w:rPr>
              <w:t>ст.17.1</w:t>
            </w:r>
            <w:r w:rsidRPr="003469B8">
              <w:rPr>
                <w:rFonts w:ascii="Times New Roman" w:hAnsi="Times New Roman" w:cs="Times New Roman"/>
                <w:sz w:val="18"/>
                <w:szCs w:val="18"/>
              </w:rPr>
              <w:t xml:space="preserve"> Особенности порядка заключения договоров в отношении государственного и муниципального имущества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9B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48B0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8B0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469B8" w:rsidRDefault="003469B8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8B0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8B0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469B8" w:rsidRDefault="003469B8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8B0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8B0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469B8" w:rsidRDefault="003469B8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8B0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8B0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69B8" w:rsidRPr="000167CF" w:rsidTr="003469B8">
        <w:trPr>
          <w:trHeight w:val="1416"/>
        </w:trPr>
        <w:tc>
          <w:tcPr>
            <w:tcW w:w="16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3469B8" w:rsidRPr="003469B8" w:rsidRDefault="003469B8" w:rsidP="006C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ст. 18.1</w:t>
            </w:r>
            <w:r w:rsidRPr="00346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Порядок рассмотрения антимонопольным органом жалоб на нарушение процедуры торгов и порядка заключения договоров</w:t>
            </w:r>
          </w:p>
          <w:p w:rsidR="003469B8" w:rsidRPr="003469B8" w:rsidRDefault="003469B8" w:rsidP="006C6C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9B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48B0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9B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9B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9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469B8" w:rsidRPr="000167CF" w:rsidTr="003469B8">
        <w:trPr>
          <w:trHeight w:val="86"/>
        </w:trPr>
        <w:tc>
          <w:tcPr>
            <w:tcW w:w="16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3469B8" w:rsidRPr="003469B8" w:rsidRDefault="003469B8" w:rsidP="006C6C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9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Всего: 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3469B8" w:rsidRPr="003469B8" w:rsidRDefault="00D02730" w:rsidP="006C6C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373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9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9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469B8" w:rsidRPr="003469B8" w:rsidRDefault="00D02730" w:rsidP="006C6C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9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469B8" w:rsidRPr="003469B8" w:rsidRDefault="003469B8" w:rsidP="006C6C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9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258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3469B8" w:rsidRPr="003469B8" w:rsidRDefault="00A048B0" w:rsidP="006C6C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</w:tbl>
    <w:p w:rsidR="00D945AC" w:rsidRPr="00724955" w:rsidRDefault="00D945AC" w:rsidP="003C480C"/>
    <w:sectPr w:rsidR="00D945AC" w:rsidRPr="00724955" w:rsidSect="00676FCC">
      <w:pgSz w:w="16838" w:h="11906" w:orient="landscape"/>
      <w:pgMar w:top="1276" w:right="1134" w:bottom="113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D2B" w:rsidRDefault="00C05D2B" w:rsidP="006C6CF9">
      <w:pPr>
        <w:spacing w:after="0" w:line="240" w:lineRule="auto"/>
      </w:pPr>
      <w:r>
        <w:separator/>
      </w:r>
    </w:p>
  </w:endnote>
  <w:endnote w:type="continuationSeparator" w:id="0">
    <w:p w:rsidR="00C05D2B" w:rsidRDefault="00C05D2B" w:rsidP="006C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D2B" w:rsidRDefault="00C05D2B" w:rsidP="006C6CF9">
      <w:pPr>
        <w:spacing w:after="0" w:line="240" w:lineRule="auto"/>
      </w:pPr>
      <w:r>
        <w:separator/>
      </w:r>
    </w:p>
  </w:footnote>
  <w:footnote w:type="continuationSeparator" w:id="0">
    <w:p w:rsidR="00C05D2B" w:rsidRDefault="00C05D2B" w:rsidP="006C6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8C"/>
    <w:rsid w:val="000013A2"/>
    <w:rsid w:val="00021138"/>
    <w:rsid w:val="00023D9D"/>
    <w:rsid w:val="0002488C"/>
    <w:rsid w:val="0003090E"/>
    <w:rsid w:val="000407B9"/>
    <w:rsid w:val="00063F7B"/>
    <w:rsid w:val="00067635"/>
    <w:rsid w:val="0007275F"/>
    <w:rsid w:val="000D66E1"/>
    <w:rsid w:val="000E5462"/>
    <w:rsid w:val="00102E5D"/>
    <w:rsid w:val="001038FF"/>
    <w:rsid w:val="00104C8C"/>
    <w:rsid w:val="00151EAF"/>
    <w:rsid w:val="00165A62"/>
    <w:rsid w:val="001D6515"/>
    <w:rsid w:val="001F13C0"/>
    <w:rsid w:val="001F2851"/>
    <w:rsid w:val="001F3520"/>
    <w:rsid w:val="00223430"/>
    <w:rsid w:val="00224979"/>
    <w:rsid w:val="00246555"/>
    <w:rsid w:val="00250068"/>
    <w:rsid w:val="002D00BD"/>
    <w:rsid w:val="003179CB"/>
    <w:rsid w:val="0033520A"/>
    <w:rsid w:val="003469B8"/>
    <w:rsid w:val="0036395D"/>
    <w:rsid w:val="00393F5F"/>
    <w:rsid w:val="003B169A"/>
    <w:rsid w:val="003C214D"/>
    <w:rsid w:val="003C480C"/>
    <w:rsid w:val="003F298C"/>
    <w:rsid w:val="004069DF"/>
    <w:rsid w:val="00475657"/>
    <w:rsid w:val="004905E6"/>
    <w:rsid w:val="004941C1"/>
    <w:rsid w:val="004D3F2A"/>
    <w:rsid w:val="004D63C4"/>
    <w:rsid w:val="005468EA"/>
    <w:rsid w:val="00565E91"/>
    <w:rsid w:val="00583157"/>
    <w:rsid w:val="005B3C57"/>
    <w:rsid w:val="005C1ADD"/>
    <w:rsid w:val="005D4F18"/>
    <w:rsid w:val="005F1CC7"/>
    <w:rsid w:val="00634AF3"/>
    <w:rsid w:val="00676FCC"/>
    <w:rsid w:val="006B7EA0"/>
    <w:rsid w:val="006C6CF9"/>
    <w:rsid w:val="006F39A0"/>
    <w:rsid w:val="006F5730"/>
    <w:rsid w:val="0071758B"/>
    <w:rsid w:val="00720EA4"/>
    <w:rsid w:val="00724955"/>
    <w:rsid w:val="007378E9"/>
    <w:rsid w:val="007502BF"/>
    <w:rsid w:val="007832CE"/>
    <w:rsid w:val="0079267A"/>
    <w:rsid w:val="00797C84"/>
    <w:rsid w:val="007A2125"/>
    <w:rsid w:val="007C680F"/>
    <w:rsid w:val="007D33A9"/>
    <w:rsid w:val="007D5929"/>
    <w:rsid w:val="007F197C"/>
    <w:rsid w:val="00817CE4"/>
    <w:rsid w:val="00825E2B"/>
    <w:rsid w:val="00867EE8"/>
    <w:rsid w:val="00883111"/>
    <w:rsid w:val="008F022A"/>
    <w:rsid w:val="0093011C"/>
    <w:rsid w:val="00942487"/>
    <w:rsid w:val="0095718D"/>
    <w:rsid w:val="0096222D"/>
    <w:rsid w:val="00974986"/>
    <w:rsid w:val="00993D67"/>
    <w:rsid w:val="009A147C"/>
    <w:rsid w:val="009C7C11"/>
    <w:rsid w:val="009D7470"/>
    <w:rsid w:val="00A01300"/>
    <w:rsid w:val="00A048B0"/>
    <w:rsid w:val="00A16E51"/>
    <w:rsid w:val="00A25C7A"/>
    <w:rsid w:val="00A54DB0"/>
    <w:rsid w:val="00A60FAF"/>
    <w:rsid w:val="00A75C1D"/>
    <w:rsid w:val="00A8557A"/>
    <w:rsid w:val="00AA1971"/>
    <w:rsid w:val="00AB1F20"/>
    <w:rsid w:val="00AD602E"/>
    <w:rsid w:val="00B04D7C"/>
    <w:rsid w:val="00B234CE"/>
    <w:rsid w:val="00B5311B"/>
    <w:rsid w:val="00B7388B"/>
    <w:rsid w:val="00B748B9"/>
    <w:rsid w:val="00BD051A"/>
    <w:rsid w:val="00C05D2B"/>
    <w:rsid w:val="00C2255D"/>
    <w:rsid w:val="00C31350"/>
    <w:rsid w:val="00C44BFB"/>
    <w:rsid w:val="00C82EC6"/>
    <w:rsid w:val="00C90B1C"/>
    <w:rsid w:val="00CA2162"/>
    <w:rsid w:val="00CA7AE8"/>
    <w:rsid w:val="00CB68F4"/>
    <w:rsid w:val="00CC576C"/>
    <w:rsid w:val="00D02730"/>
    <w:rsid w:val="00D054CD"/>
    <w:rsid w:val="00D20BB2"/>
    <w:rsid w:val="00D3130F"/>
    <w:rsid w:val="00D42413"/>
    <w:rsid w:val="00D91995"/>
    <w:rsid w:val="00D945AC"/>
    <w:rsid w:val="00E25CE2"/>
    <w:rsid w:val="00E27545"/>
    <w:rsid w:val="00E728B2"/>
    <w:rsid w:val="00E94373"/>
    <w:rsid w:val="00EA54D1"/>
    <w:rsid w:val="00ED3414"/>
    <w:rsid w:val="00F158EE"/>
    <w:rsid w:val="00F47C15"/>
    <w:rsid w:val="00F52ECC"/>
    <w:rsid w:val="00F76ECB"/>
    <w:rsid w:val="00F934FF"/>
    <w:rsid w:val="00F95CF5"/>
    <w:rsid w:val="00F96EDD"/>
    <w:rsid w:val="00FA6F9A"/>
    <w:rsid w:val="00FB2343"/>
    <w:rsid w:val="00FC05EE"/>
    <w:rsid w:val="00FD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C6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6CF9"/>
  </w:style>
  <w:style w:type="paragraph" w:styleId="a6">
    <w:name w:val="footer"/>
    <w:basedOn w:val="a"/>
    <w:link w:val="a7"/>
    <w:uiPriority w:val="99"/>
    <w:unhideWhenUsed/>
    <w:rsid w:val="006C6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6CF9"/>
  </w:style>
  <w:style w:type="paragraph" w:styleId="a8">
    <w:name w:val="List Paragraph"/>
    <w:basedOn w:val="a"/>
    <w:uiPriority w:val="34"/>
    <w:qFormat/>
    <w:rsid w:val="00C44B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C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5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C6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6CF9"/>
  </w:style>
  <w:style w:type="paragraph" w:styleId="a6">
    <w:name w:val="footer"/>
    <w:basedOn w:val="a"/>
    <w:link w:val="a7"/>
    <w:uiPriority w:val="99"/>
    <w:unhideWhenUsed/>
    <w:rsid w:val="006C6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6CF9"/>
  </w:style>
  <w:style w:type="paragraph" w:styleId="a8">
    <w:name w:val="List Paragraph"/>
    <w:basedOn w:val="a"/>
    <w:uiPriority w:val="34"/>
    <w:qFormat/>
    <w:rsid w:val="00C44B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C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5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87</cp:revision>
  <cp:lastPrinted>2017-04-24T10:37:00Z</cp:lastPrinted>
  <dcterms:created xsi:type="dcterms:W3CDTF">2012-10-02T12:07:00Z</dcterms:created>
  <dcterms:modified xsi:type="dcterms:W3CDTF">2017-04-24T10:37:00Z</dcterms:modified>
</cp:coreProperties>
</file>