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29" w:rsidRDefault="002A4A29" w:rsidP="00E05672">
      <w:pPr>
        <w:shd w:val="clear" w:color="auto" w:fill="FFFFFF"/>
        <w:spacing w:line="310" w:lineRule="exact"/>
        <w:ind w:right="40"/>
        <w:jc w:val="center"/>
        <w:rPr>
          <w:rFonts w:eastAsia="Times New Roman"/>
          <w:b/>
          <w:bCs/>
          <w:color w:val="000000"/>
          <w:spacing w:val="-10"/>
          <w:sz w:val="24"/>
          <w:szCs w:val="24"/>
        </w:rPr>
      </w:pPr>
      <w:bookmarkStart w:id="0" w:name="_GoBack"/>
      <w:bookmarkEnd w:id="0"/>
      <w:r>
        <w:rPr>
          <w:rFonts w:eastAsia="Times New Roman"/>
          <w:b/>
          <w:bCs/>
          <w:color w:val="000000"/>
          <w:spacing w:val="-10"/>
          <w:sz w:val="24"/>
          <w:szCs w:val="24"/>
        </w:rPr>
        <w:t>Выписка из аналитического отчета о состоянии конкурентной среды на розничных рынках автомобильных бензинов в Чувашской Республике за 2012 год</w:t>
      </w:r>
    </w:p>
    <w:p w:rsidR="00E05672" w:rsidRPr="00B61D86" w:rsidRDefault="00E05672" w:rsidP="00E05672">
      <w:pPr>
        <w:shd w:val="clear" w:color="auto" w:fill="FFFFFF"/>
        <w:spacing w:line="310" w:lineRule="exact"/>
        <w:ind w:right="40"/>
        <w:jc w:val="center"/>
        <w:rPr>
          <w:sz w:val="24"/>
          <w:szCs w:val="24"/>
        </w:rPr>
      </w:pPr>
    </w:p>
    <w:p w:rsidR="001D4ADC" w:rsidRPr="00B61D86" w:rsidRDefault="001D4ADC" w:rsidP="00E05672">
      <w:pPr>
        <w:pStyle w:val="aa"/>
        <w:numPr>
          <w:ilvl w:val="0"/>
          <w:numId w:val="2"/>
        </w:numPr>
        <w:shd w:val="clear" w:color="auto" w:fill="FFFFFF"/>
        <w:spacing w:line="306" w:lineRule="exact"/>
        <w:rPr>
          <w:rFonts w:eastAsia="Times New Roman"/>
          <w:b/>
          <w:bCs/>
          <w:color w:val="000000"/>
          <w:spacing w:val="-3"/>
          <w:sz w:val="24"/>
          <w:szCs w:val="24"/>
        </w:rPr>
      </w:pPr>
      <w:r w:rsidRPr="00B61D86">
        <w:rPr>
          <w:rFonts w:eastAsia="Times New Roman"/>
          <w:b/>
          <w:bCs/>
          <w:color w:val="000000"/>
          <w:spacing w:val="-3"/>
          <w:sz w:val="24"/>
          <w:szCs w:val="24"/>
        </w:rPr>
        <w:t>Общие положения</w:t>
      </w:r>
    </w:p>
    <w:p w:rsidR="00E05672" w:rsidRPr="00B61D86" w:rsidRDefault="00E05672" w:rsidP="00E05672">
      <w:pPr>
        <w:pStyle w:val="aa"/>
        <w:shd w:val="clear" w:color="auto" w:fill="FFFFFF"/>
        <w:spacing w:line="306" w:lineRule="exact"/>
        <w:ind w:left="4558"/>
        <w:rPr>
          <w:rFonts w:eastAsia="Times New Roman"/>
          <w:b/>
          <w:bCs/>
          <w:color w:val="000000"/>
          <w:spacing w:val="-3"/>
          <w:sz w:val="24"/>
          <w:szCs w:val="24"/>
        </w:rPr>
      </w:pPr>
    </w:p>
    <w:p w:rsidR="001D4ADC" w:rsidRPr="00B61D86" w:rsidRDefault="00E05672" w:rsidP="00E05672">
      <w:pPr>
        <w:jc w:val="both"/>
        <w:rPr>
          <w:sz w:val="24"/>
          <w:szCs w:val="24"/>
        </w:rPr>
      </w:pPr>
      <w:r w:rsidRPr="00B61D86">
        <w:rPr>
          <w:sz w:val="24"/>
          <w:szCs w:val="24"/>
        </w:rPr>
        <w:t xml:space="preserve">          </w:t>
      </w:r>
      <w:r w:rsidR="001D4ADC" w:rsidRPr="00B61D86">
        <w:rPr>
          <w:sz w:val="24"/>
          <w:szCs w:val="24"/>
        </w:rPr>
        <w:t xml:space="preserve">Настоящий анализ рынка проведен на основе </w:t>
      </w:r>
      <w:proofErr w:type="gramStart"/>
      <w:r w:rsidR="001D4ADC" w:rsidRPr="00B61D86">
        <w:rPr>
          <w:sz w:val="24"/>
          <w:szCs w:val="24"/>
        </w:rPr>
        <w:t>Порядка проведения анализа состояния конкуренции</w:t>
      </w:r>
      <w:proofErr w:type="gramEnd"/>
      <w:r w:rsidR="001D4ADC" w:rsidRPr="00B61D86">
        <w:rPr>
          <w:sz w:val="24"/>
          <w:szCs w:val="24"/>
        </w:rPr>
        <w:t xml:space="preserve"> на товарном рынке, утвержденного приказом ФАС России от 28.04.2010 №220 (далее - Порядок) и Методических рекомендаций разработанных ФАС России.</w:t>
      </w:r>
    </w:p>
    <w:p w:rsidR="001D4ADC" w:rsidRPr="00B61D86" w:rsidRDefault="004A1C7C" w:rsidP="00C87C36">
      <w:pPr>
        <w:jc w:val="both"/>
        <w:rPr>
          <w:sz w:val="24"/>
          <w:szCs w:val="24"/>
        </w:rPr>
      </w:pPr>
      <w:r w:rsidRPr="00B61D86">
        <w:rPr>
          <w:sz w:val="24"/>
          <w:szCs w:val="24"/>
        </w:rPr>
        <w:t xml:space="preserve">          </w:t>
      </w:r>
      <w:r w:rsidR="001D4ADC" w:rsidRPr="00B61D86">
        <w:rPr>
          <w:sz w:val="24"/>
          <w:szCs w:val="24"/>
        </w:rPr>
        <w:t>Целью     проведения     анализа     конкуренции     на     розничных     рынках автомобильных   бензинов   является   установление   доминирующего   положения вертикально    интегрированных    нефтяных    компаний    (далее    -    ВИНК)    на региональных рынках, а также унификация методов анализа с учетом проведенного обобщения лучших практик территориальных органов ФАС России.</w:t>
      </w:r>
    </w:p>
    <w:p w:rsidR="001D4ADC" w:rsidRPr="00B61D86" w:rsidRDefault="004A1C7C" w:rsidP="00C87C36">
      <w:pPr>
        <w:jc w:val="both"/>
        <w:rPr>
          <w:sz w:val="24"/>
          <w:szCs w:val="24"/>
        </w:rPr>
      </w:pPr>
      <w:r w:rsidRPr="00B61D86">
        <w:rPr>
          <w:sz w:val="24"/>
          <w:szCs w:val="24"/>
        </w:rPr>
        <w:t xml:space="preserve">        </w:t>
      </w:r>
      <w:r w:rsidR="001D4ADC" w:rsidRPr="00B61D86">
        <w:rPr>
          <w:sz w:val="24"/>
          <w:szCs w:val="24"/>
        </w:rPr>
        <w:t xml:space="preserve"> В ходе проведения анализа рынка использовались следующие материалы:</w:t>
      </w:r>
    </w:p>
    <w:p w:rsidR="001D4ADC" w:rsidRPr="00B61D86" w:rsidRDefault="001D4ADC" w:rsidP="00C87C36">
      <w:pPr>
        <w:jc w:val="both"/>
        <w:rPr>
          <w:sz w:val="24"/>
          <w:szCs w:val="24"/>
        </w:rPr>
      </w:pPr>
      <w:r w:rsidRPr="00B61D86">
        <w:rPr>
          <w:sz w:val="24"/>
          <w:szCs w:val="24"/>
        </w:rPr>
        <w:t xml:space="preserve"> </w:t>
      </w:r>
      <w:r w:rsidR="004A1C7C" w:rsidRPr="00B61D86">
        <w:rPr>
          <w:sz w:val="24"/>
          <w:szCs w:val="24"/>
        </w:rPr>
        <w:t xml:space="preserve">        </w:t>
      </w:r>
      <w:r w:rsidRPr="00B61D86">
        <w:rPr>
          <w:sz w:val="24"/>
          <w:szCs w:val="24"/>
        </w:rPr>
        <w:t>– данные, полученные на основании запросов в Администрации городов и районов Чувашской Республики – в части определения  участников розничного рынка реализации нефтепродуктов;</w:t>
      </w:r>
    </w:p>
    <w:p w:rsidR="001D4ADC" w:rsidRPr="00B61D86" w:rsidRDefault="004A1C7C" w:rsidP="00C87C36">
      <w:pPr>
        <w:jc w:val="both"/>
        <w:rPr>
          <w:sz w:val="24"/>
          <w:szCs w:val="24"/>
        </w:rPr>
      </w:pPr>
      <w:r w:rsidRPr="00B61D86">
        <w:rPr>
          <w:sz w:val="24"/>
          <w:szCs w:val="24"/>
        </w:rPr>
        <w:t xml:space="preserve">        </w:t>
      </w:r>
      <w:r w:rsidR="001D4ADC" w:rsidRPr="00B61D86">
        <w:rPr>
          <w:sz w:val="24"/>
          <w:szCs w:val="24"/>
        </w:rPr>
        <w:t>– данные Территориального органа Федеральной службы государственной статистики по Чувашской Республике – в части определения участников розничного рынка реализации нефтепродуктов;</w:t>
      </w:r>
    </w:p>
    <w:p w:rsidR="001D4ADC" w:rsidRPr="00B61D86" w:rsidRDefault="004A1C7C" w:rsidP="00C87C36">
      <w:pPr>
        <w:jc w:val="both"/>
        <w:rPr>
          <w:sz w:val="24"/>
          <w:szCs w:val="24"/>
        </w:rPr>
      </w:pPr>
      <w:r w:rsidRPr="00B61D86">
        <w:rPr>
          <w:sz w:val="24"/>
          <w:szCs w:val="24"/>
        </w:rPr>
        <w:t xml:space="preserve">        </w:t>
      </w:r>
      <w:r w:rsidR="001D4ADC" w:rsidRPr="00B61D86">
        <w:rPr>
          <w:sz w:val="24"/>
          <w:szCs w:val="24"/>
        </w:rPr>
        <w:t>– данные, полученные на основании запроса управления от хозяйствующих субъектов, осуществляющих розничную реализацию нефтепродуктов, для определения объема рынка нефтепродуктов Чувашской Республики.</w:t>
      </w:r>
    </w:p>
    <w:p w:rsidR="00D34D11" w:rsidRPr="00B61D86" w:rsidRDefault="00E05672" w:rsidP="00D34D11">
      <w:pPr>
        <w:shd w:val="clear" w:color="auto" w:fill="FFFFFF"/>
        <w:tabs>
          <w:tab w:val="left" w:pos="695"/>
        </w:tabs>
        <w:jc w:val="both"/>
        <w:rPr>
          <w:rFonts w:eastAsia="Times New Roman"/>
          <w:color w:val="000000"/>
          <w:sz w:val="24"/>
          <w:szCs w:val="24"/>
        </w:rPr>
      </w:pPr>
      <w:r w:rsidRPr="00B61D86">
        <w:rPr>
          <w:rFonts w:eastAsia="Times New Roman"/>
          <w:color w:val="000000"/>
          <w:sz w:val="24"/>
          <w:szCs w:val="24"/>
        </w:rPr>
        <w:t xml:space="preserve">            </w:t>
      </w:r>
      <w:r w:rsidR="00D34D11" w:rsidRPr="00B61D86">
        <w:rPr>
          <w:rFonts w:eastAsia="Times New Roman"/>
          <w:color w:val="000000"/>
          <w:sz w:val="24"/>
          <w:szCs w:val="24"/>
        </w:rPr>
        <w:t>Нормативно-правовая база данного исследования включает в себя следующие документы:</w:t>
      </w:r>
    </w:p>
    <w:p w:rsidR="00D34D11" w:rsidRPr="00B61D86" w:rsidRDefault="00D34D11" w:rsidP="00D34D11">
      <w:pPr>
        <w:widowControl/>
        <w:shd w:val="clear" w:color="auto" w:fill="FFFFFF"/>
        <w:autoSpaceDE/>
        <w:autoSpaceDN/>
        <w:adjustRightInd/>
        <w:ind w:firstLine="709"/>
        <w:jc w:val="both"/>
        <w:textAlignment w:val="baseline"/>
        <w:rPr>
          <w:rFonts w:eastAsia="Times New Roman"/>
          <w:color w:val="000000"/>
          <w:sz w:val="24"/>
          <w:szCs w:val="24"/>
        </w:rPr>
      </w:pPr>
      <w:r w:rsidRPr="00B61D86">
        <w:rPr>
          <w:rFonts w:eastAsia="Times New Roman"/>
          <w:color w:val="000000"/>
          <w:sz w:val="24"/>
          <w:szCs w:val="24"/>
        </w:rPr>
        <w:t>1.    Федеральный закон от 26.07.2006 № 135-ФЗ «О защите конкуренции» (далее – Закон о защите конкуренции).</w:t>
      </w:r>
    </w:p>
    <w:p w:rsidR="009F4BE8" w:rsidRPr="00B61D86" w:rsidRDefault="009F4BE8" w:rsidP="00D34D11">
      <w:pPr>
        <w:widowControl/>
        <w:shd w:val="clear" w:color="auto" w:fill="FFFFFF"/>
        <w:autoSpaceDE/>
        <w:autoSpaceDN/>
        <w:adjustRightInd/>
        <w:ind w:firstLine="709"/>
        <w:jc w:val="both"/>
        <w:textAlignment w:val="baseline"/>
        <w:rPr>
          <w:rFonts w:eastAsia="Times New Roman"/>
          <w:color w:val="000000"/>
          <w:sz w:val="24"/>
          <w:szCs w:val="24"/>
        </w:rPr>
      </w:pPr>
      <w:r w:rsidRPr="00B61D86">
        <w:rPr>
          <w:rFonts w:eastAsia="Times New Roman"/>
          <w:color w:val="000000"/>
          <w:sz w:val="24"/>
          <w:szCs w:val="24"/>
        </w:rPr>
        <w:t xml:space="preserve">2.    </w:t>
      </w:r>
      <w:r w:rsidRPr="00B61D86">
        <w:rPr>
          <w:color w:val="000000"/>
          <w:sz w:val="24"/>
          <w:szCs w:val="24"/>
        </w:rPr>
        <w:t>П</w:t>
      </w:r>
      <w:r w:rsidRPr="00B61D86">
        <w:rPr>
          <w:sz w:val="24"/>
          <w:szCs w:val="24"/>
        </w:rPr>
        <w:t>риказ ФАС России от 28.04.2010 №220 «Об утверждении порядка проведения анализа конкуренции на товарном рынке».</w:t>
      </w:r>
    </w:p>
    <w:p w:rsidR="00D34D11" w:rsidRPr="00B61D86" w:rsidRDefault="009F4BE8" w:rsidP="00D34D11">
      <w:pPr>
        <w:widowControl/>
        <w:shd w:val="clear" w:color="auto" w:fill="FFFFFF"/>
        <w:autoSpaceDE/>
        <w:autoSpaceDN/>
        <w:adjustRightInd/>
        <w:ind w:firstLine="709"/>
        <w:jc w:val="both"/>
        <w:textAlignment w:val="baseline"/>
        <w:rPr>
          <w:rFonts w:eastAsia="Times New Roman"/>
          <w:color w:val="000000"/>
          <w:sz w:val="24"/>
          <w:szCs w:val="24"/>
        </w:rPr>
      </w:pPr>
      <w:r w:rsidRPr="00B61D86">
        <w:rPr>
          <w:rFonts w:eastAsia="Times New Roman"/>
          <w:color w:val="000000"/>
          <w:sz w:val="24"/>
          <w:szCs w:val="24"/>
        </w:rPr>
        <w:t>3</w:t>
      </w:r>
      <w:r w:rsidR="00D34D11" w:rsidRPr="00B61D86">
        <w:rPr>
          <w:rFonts w:eastAsia="Times New Roman"/>
          <w:color w:val="000000"/>
          <w:sz w:val="24"/>
          <w:szCs w:val="24"/>
        </w:rPr>
        <w:t>.    Технический регламент «О требованиях к автомобильному и авиационному бензину, дизельному и судовому топливу, топливу для реактивных двигателей и топочному мазуту» (далее – Технический регламент), утв. Постановлением Правительства от 27.02.2008 № 118.</w:t>
      </w:r>
    </w:p>
    <w:p w:rsidR="00D34D11" w:rsidRPr="00B61D86" w:rsidRDefault="009F4BE8" w:rsidP="00D34D11">
      <w:pPr>
        <w:widowControl/>
        <w:shd w:val="clear" w:color="auto" w:fill="FFFFFF"/>
        <w:autoSpaceDE/>
        <w:autoSpaceDN/>
        <w:adjustRightInd/>
        <w:ind w:firstLine="709"/>
        <w:jc w:val="both"/>
        <w:textAlignment w:val="baseline"/>
        <w:rPr>
          <w:rFonts w:eastAsia="Times New Roman"/>
          <w:color w:val="000000"/>
          <w:sz w:val="24"/>
          <w:szCs w:val="24"/>
        </w:rPr>
      </w:pPr>
      <w:r w:rsidRPr="00B61D86">
        <w:rPr>
          <w:rFonts w:eastAsia="Times New Roman"/>
          <w:color w:val="000000"/>
          <w:sz w:val="24"/>
          <w:szCs w:val="24"/>
        </w:rPr>
        <w:t>4</w:t>
      </w:r>
      <w:r w:rsidR="00D34D11" w:rsidRPr="00B61D86">
        <w:rPr>
          <w:rFonts w:eastAsia="Times New Roman"/>
          <w:color w:val="000000"/>
          <w:sz w:val="24"/>
          <w:szCs w:val="24"/>
        </w:rPr>
        <w:t>.    ГОСТ 26098-84. Нефтепродукты. Термины и определения (далее – ГОСТ 26098-84), введен в действие Постановлением Госстандарта СССР от 24.02.1984 № 591.</w:t>
      </w:r>
    </w:p>
    <w:p w:rsidR="00D34D11" w:rsidRPr="00B61D86" w:rsidRDefault="009F4BE8" w:rsidP="00D34D11">
      <w:pPr>
        <w:widowControl/>
        <w:shd w:val="clear" w:color="auto" w:fill="FFFFFF"/>
        <w:autoSpaceDE/>
        <w:autoSpaceDN/>
        <w:adjustRightInd/>
        <w:ind w:firstLine="709"/>
        <w:jc w:val="both"/>
        <w:textAlignment w:val="baseline"/>
        <w:rPr>
          <w:rFonts w:eastAsia="Times New Roman"/>
          <w:color w:val="000000"/>
          <w:sz w:val="24"/>
          <w:szCs w:val="24"/>
        </w:rPr>
      </w:pPr>
      <w:r w:rsidRPr="00B61D86">
        <w:rPr>
          <w:rFonts w:eastAsia="Times New Roman"/>
          <w:color w:val="000000"/>
          <w:sz w:val="24"/>
          <w:szCs w:val="24"/>
        </w:rPr>
        <w:t>5</w:t>
      </w:r>
      <w:r w:rsidR="00D34D11" w:rsidRPr="00B61D86">
        <w:rPr>
          <w:rFonts w:eastAsia="Times New Roman"/>
          <w:color w:val="000000"/>
          <w:sz w:val="24"/>
          <w:szCs w:val="24"/>
        </w:rPr>
        <w:t>.    ГОСТ 1510-84. Нефть и нефтепродукты. Маркировка, упаковка, транспортирование и хранение (далее – ГОСТ 1510-84), утв. Постановлением Госстандарта СССР от 07.08.1984 № 2776.</w:t>
      </w:r>
    </w:p>
    <w:p w:rsidR="00D34D11" w:rsidRPr="00B61D86" w:rsidRDefault="009F4BE8" w:rsidP="00D34D11">
      <w:pPr>
        <w:widowControl/>
        <w:shd w:val="clear" w:color="auto" w:fill="FFFFFF"/>
        <w:autoSpaceDE/>
        <w:autoSpaceDN/>
        <w:adjustRightInd/>
        <w:ind w:firstLine="709"/>
        <w:jc w:val="both"/>
        <w:textAlignment w:val="baseline"/>
        <w:rPr>
          <w:rFonts w:eastAsia="Times New Roman"/>
          <w:color w:val="000000"/>
          <w:sz w:val="24"/>
          <w:szCs w:val="24"/>
        </w:rPr>
      </w:pPr>
      <w:r w:rsidRPr="00B61D86">
        <w:rPr>
          <w:rFonts w:eastAsia="Times New Roman"/>
          <w:color w:val="000000"/>
          <w:sz w:val="24"/>
          <w:szCs w:val="24"/>
        </w:rPr>
        <w:t>6</w:t>
      </w:r>
      <w:r w:rsidR="00D34D11" w:rsidRPr="00B61D86">
        <w:rPr>
          <w:rFonts w:eastAsia="Times New Roman"/>
          <w:color w:val="000000"/>
          <w:sz w:val="24"/>
          <w:szCs w:val="24"/>
        </w:rPr>
        <w:t xml:space="preserve">.    </w:t>
      </w:r>
      <w:proofErr w:type="gramStart"/>
      <w:r w:rsidR="00D34D11" w:rsidRPr="00B61D86">
        <w:rPr>
          <w:rFonts w:eastAsia="Times New Roman"/>
          <w:color w:val="000000"/>
          <w:sz w:val="24"/>
          <w:szCs w:val="24"/>
        </w:rPr>
        <w:t>ОК</w:t>
      </w:r>
      <w:proofErr w:type="gramEnd"/>
      <w:r w:rsidR="00D34D11" w:rsidRPr="00B61D86">
        <w:rPr>
          <w:rFonts w:eastAsia="Times New Roman"/>
          <w:color w:val="000000"/>
          <w:sz w:val="24"/>
          <w:szCs w:val="24"/>
        </w:rPr>
        <w:t xml:space="preserve"> 029-2001. Общероссийский классификатор видов экономической деятельности (далее – </w:t>
      </w:r>
      <w:proofErr w:type="gramStart"/>
      <w:r w:rsidR="00D34D11" w:rsidRPr="00B61D86">
        <w:rPr>
          <w:rFonts w:eastAsia="Times New Roman"/>
          <w:color w:val="000000"/>
          <w:sz w:val="24"/>
          <w:szCs w:val="24"/>
        </w:rPr>
        <w:t>ОК</w:t>
      </w:r>
      <w:proofErr w:type="gramEnd"/>
      <w:r w:rsidR="00D34D11" w:rsidRPr="00B61D86">
        <w:rPr>
          <w:rFonts w:eastAsia="Times New Roman"/>
          <w:color w:val="000000"/>
          <w:sz w:val="24"/>
          <w:szCs w:val="24"/>
        </w:rPr>
        <w:t xml:space="preserve"> 029-2001), утв. Постановлением Госстандарта РФ от 06.11.2001 № 454-ст.</w:t>
      </w:r>
    </w:p>
    <w:p w:rsidR="00D34D11" w:rsidRPr="00B61D86" w:rsidRDefault="009F4BE8" w:rsidP="00D34D11">
      <w:pPr>
        <w:widowControl/>
        <w:shd w:val="clear" w:color="auto" w:fill="FFFFFF"/>
        <w:autoSpaceDE/>
        <w:autoSpaceDN/>
        <w:adjustRightInd/>
        <w:ind w:firstLine="709"/>
        <w:jc w:val="both"/>
        <w:textAlignment w:val="baseline"/>
        <w:rPr>
          <w:rFonts w:eastAsia="Times New Roman"/>
          <w:color w:val="000000"/>
          <w:sz w:val="24"/>
          <w:szCs w:val="24"/>
        </w:rPr>
      </w:pPr>
      <w:r w:rsidRPr="00B61D86">
        <w:rPr>
          <w:rFonts w:eastAsia="Times New Roman"/>
          <w:color w:val="000000"/>
          <w:sz w:val="24"/>
          <w:szCs w:val="24"/>
        </w:rPr>
        <w:t>7</w:t>
      </w:r>
      <w:r w:rsidR="00D34D11" w:rsidRPr="00B61D86">
        <w:rPr>
          <w:rFonts w:eastAsia="Times New Roman"/>
          <w:color w:val="000000"/>
          <w:sz w:val="24"/>
          <w:szCs w:val="24"/>
        </w:rPr>
        <w:t xml:space="preserve">.    </w:t>
      </w:r>
      <w:proofErr w:type="gramStart"/>
      <w:r w:rsidR="00D34D11" w:rsidRPr="00B61D86">
        <w:rPr>
          <w:rFonts w:eastAsia="Times New Roman"/>
          <w:color w:val="000000"/>
          <w:sz w:val="24"/>
          <w:szCs w:val="24"/>
        </w:rPr>
        <w:t>ОК</w:t>
      </w:r>
      <w:proofErr w:type="gramEnd"/>
      <w:r w:rsidR="00D34D11" w:rsidRPr="00B61D86">
        <w:rPr>
          <w:rFonts w:eastAsia="Times New Roman"/>
          <w:color w:val="000000"/>
          <w:sz w:val="24"/>
          <w:szCs w:val="24"/>
        </w:rPr>
        <w:t xml:space="preserve"> 034-2007 (КПЕС 2002). Общероссийский классификатор продукции по видам экономической деятельности (далее – </w:t>
      </w:r>
      <w:proofErr w:type="gramStart"/>
      <w:r w:rsidR="00D34D11" w:rsidRPr="00B61D86">
        <w:rPr>
          <w:rFonts w:eastAsia="Times New Roman"/>
          <w:color w:val="000000"/>
          <w:sz w:val="24"/>
          <w:szCs w:val="24"/>
        </w:rPr>
        <w:t>ОК</w:t>
      </w:r>
      <w:proofErr w:type="gramEnd"/>
      <w:r w:rsidR="00D34D11" w:rsidRPr="00B61D86">
        <w:rPr>
          <w:rFonts w:eastAsia="Times New Roman"/>
          <w:color w:val="000000"/>
          <w:sz w:val="24"/>
          <w:szCs w:val="24"/>
        </w:rPr>
        <w:t xml:space="preserve"> 034-2007), принят и введен в действие Приказом </w:t>
      </w:r>
      <w:proofErr w:type="spellStart"/>
      <w:r w:rsidR="00D34D11" w:rsidRPr="00B61D86">
        <w:rPr>
          <w:rFonts w:eastAsia="Times New Roman"/>
          <w:color w:val="000000"/>
          <w:sz w:val="24"/>
          <w:szCs w:val="24"/>
        </w:rPr>
        <w:t>Ростехрегулирования</w:t>
      </w:r>
      <w:proofErr w:type="spellEnd"/>
      <w:r w:rsidR="00D34D11" w:rsidRPr="00B61D86">
        <w:rPr>
          <w:rFonts w:eastAsia="Times New Roman"/>
          <w:color w:val="000000"/>
          <w:sz w:val="24"/>
          <w:szCs w:val="24"/>
        </w:rPr>
        <w:t xml:space="preserve"> от 22.11.2007 № 329-ст.</w:t>
      </w:r>
    </w:p>
    <w:p w:rsidR="00D34D11" w:rsidRPr="00B61D86" w:rsidRDefault="009A307B" w:rsidP="003F5048">
      <w:pPr>
        <w:widowControl/>
        <w:shd w:val="clear" w:color="auto" w:fill="FFFFFF"/>
        <w:autoSpaceDE/>
        <w:autoSpaceDN/>
        <w:adjustRightInd/>
        <w:ind w:firstLine="709"/>
        <w:jc w:val="both"/>
        <w:textAlignment w:val="baseline"/>
        <w:rPr>
          <w:rFonts w:eastAsia="Times New Roman"/>
          <w:color w:val="000000"/>
          <w:sz w:val="24"/>
          <w:szCs w:val="24"/>
        </w:rPr>
      </w:pPr>
      <w:r w:rsidRPr="00B61D86">
        <w:rPr>
          <w:rFonts w:eastAsia="Times New Roman"/>
          <w:color w:val="000000"/>
          <w:sz w:val="24"/>
          <w:szCs w:val="24"/>
        </w:rPr>
        <w:t>8</w:t>
      </w:r>
      <w:r w:rsidR="00D34D11" w:rsidRPr="00B61D86">
        <w:rPr>
          <w:rFonts w:eastAsia="Times New Roman"/>
          <w:color w:val="000000"/>
          <w:sz w:val="24"/>
          <w:szCs w:val="24"/>
        </w:rPr>
        <w:t>.    Методические указания по подготовке аналитического отчета о состоянии конкурентной среды на розничных рынках дизельного топлива.</w:t>
      </w:r>
    </w:p>
    <w:p w:rsidR="001D4ADC" w:rsidRPr="00B61D86" w:rsidRDefault="001D4ADC" w:rsidP="003F5048">
      <w:pPr>
        <w:shd w:val="clear" w:color="auto" w:fill="FFFFFF"/>
        <w:spacing w:line="306" w:lineRule="exact"/>
        <w:ind w:left="360" w:right="4"/>
        <w:jc w:val="both"/>
        <w:rPr>
          <w:rFonts w:eastAsia="Times New Roman"/>
          <w:color w:val="000000"/>
          <w:spacing w:val="16"/>
          <w:sz w:val="24"/>
          <w:szCs w:val="24"/>
        </w:rPr>
      </w:pPr>
      <w:r w:rsidRPr="00B61D86">
        <w:rPr>
          <w:color w:val="000000"/>
          <w:spacing w:val="16"/>
          <w:sz w:val="24"/>
          <w:szCs w:val="24"/>
        </w:rPr>
        <w:t xml:space="preserve">      </w:t>
      </w:r>
    </w:p>
    <w:p w:rsidR="001D4ADC" w:rsidRPr="00B61D86" w:rsidRDefault="001D4ADC" w:rsidP="003F5048">
      <w:pPr>
        <w:shd w:val="clear" w:color="auto" w:fill="FFFFFF"/>
        <w:spacing w:line="306" w:lineRule="exact"/>
        <w:ind w:left="360" w:right="4"/>
        <w:jc w:val="center"/>
        <w:rPr>
          <w:rFonts w:eastAsia="Times New Roman"/>
          <w:b/>
          <w:bCs/>
          <w:color w:val="000000"/>
          <w:spacing w:val="-6"/>
          <w:sz w:val="24"/>
          <w:szCs w:val="24"/>
        </w:rPr>
      </w:pPr>
      <w:r w:rsidRPr="00B61D86">
        <w:rPr>
          <w:b/>
          <w:bCs/>
          <w:color w:val="000000"/>
          <w:spacing w:val="-11"/>
          <w:sz w:val="24"/>
          <w:szCs w:val="24"/>
          <w:lang w:val="en-US"/>
        </w:rPr>
        <w:t>II</w:t>
      </w:r>
      <w:r w:rsidRPr="00B61D86">
        <w:rPr>
          <w:b/>
          <w:bCs/>
          <w:color w:val="000000"/>
          <w:spacing w:val="-11"/>
          <w:sz w:val="24"/>
          <w:szCs w:val="24"/>
        </w:rPr>
        <w:t>.</w:t>
      </w:r>
      <w:r w:rsidRPr="00B61D86">
        <w:rPr>
          <w:b/>
          <w:bCs/>
          <w:color w:val="000000"/>
          <w:sz w:val="24"/>
          <w:szCs w:val="24"/>
        </w:rPr>
        <w:tab/>
      </w:r>
      <w:r w:rsidRPr="00B61D86">
        <w:rPr>
          <w:rFonts w:eastAsia="Times New Roman"/>
          <w:b/>
          <w:bCs/>
          <w:color w:val="000000"/>
          <w:spacing w:val="-6"/>
          <w:sz w:val="24"/>
          <w:szCs w:val="24"/>
        </w:rPr>
        <w:t>Временной интервал исследования</w:t>
      </w:r>
    </w:p>
    <w:p w:rsidR="003F5048" w:rsidRPr="00B61D86" w:rsidRDefault="003F5048" w:rsidP="003F5048">
      <w:pPr>
        <w:shd w:val="clear" w:color="auto" w:fill="FFFFFF"/>
        <w:spacing w:line="306" w:lineRule="exact"/>
        <w:ind w:left="360" w:right="4"/>
        <w:jc w:val="center"/>
        <w:rPr>
          <w:sz w:val="24"/>
          <w:szCs w:val="24"/>
        </w:rPr>
      </w:pPr>
    </w:p>
    <w:p w:rsidR="00D34D11" w:rsidRPr="00B61D86" w:rsidRDefault="00D34D11" w:rsidP="003F5048">
      <w:pPr>
        <w:pStyle w:val="a5"/>
        <w:shd w:val="clear" w:color="auto" w:fill="FFFFFF"/>
        <w:spacing w:before="0" w:beforeAutospacing="0" w:after="0" w:afterAutospacing="0"/>
        <w:ind w:firstLine="709"/>
        <w:jc w:val="both"/>
        <w:textAlignment w:val="baseline"/>
        <w:rPr>
          <w:color w:val="000000"/>
        </w:rPr>
      </w:pPr>
      <w:r w:rsidRPr="00B61D86">
        <w:rPr>
          <w:color w:val="000000"/>
        </w:rPr>
        <w:t>В соответствии с Порядком, определение временного интервала исследования товарного рынка определяется в зависимости от цели исследования, особенностей товарного рынка и доступности информации.</w:t>
      </w:r>
    </w:p>
    <w:p w:rsidR="00D34D11" w:rsidRPr="00B61D86" w:rsidRDefault="00D34D11" w:rsidP="00D34D11">
      <w:pPr>
        <w:pStyle w:val="a5"/>
        <w:shd w:val="clear" w:color="auto" w:fill="FFFFFF"/>
        <w:spacing w:before="0" w:beforeAutospacing="0" w:after="0" w:afterAutospacing="0"/>
        <w:ind w:firstLine="709"/>
        <w:jc w:val="both"/>
        <w:textAlignment w:val="baseline"/>
        <w:rPr>
          <w:color w:val="000000"/>
        </w:rPr>
      </w:pPr>
      <w:r w:rsidRPr="00B61D86">
        <w:rPr>
          <w:color w:val="000000"/>
        </w:rPr>
        <w:t>Наименьший временной интервал анализа состояния конкуренции должен составлять один год или срок существования товарного рынка, если он составляет менее чем один год (п. 2.1 Порядка).</w:t>
      </w:r>
    </w:p>
    <w:p w:rsidR="00D34D11" w:rsidRPr="00B61D86" w:rsidRDefault="00D34D11" w:rsidP="00D34D11">
      <w:pPr>
        <w:pStyle w:val="a5"/>
        <w:shd w:val="clear" w:color="auto" w:fill="FFFFFF"/>
        <w:spacing w:before="0" w:beforeAutospacing="0" w:after="0" w:afterAutospacing="0"/>
        <w:ind w:firstLine="709"/>
        <w:jc w:val="both"/>
        <w:textAlignment w:val="baseline"/>
        <w:rPr>
          <w:color w:val="000000"/>
        </w:rPr>
      </w:pPr>
      <w:r w:rsidRPr="00B61D86">
        <w:rPr>
          <w:color w:val="000000"/>
        </w:rPr>
        <w:t>Настоящее исследование ограничивается изучением характеристик рассматриваемого товарного рынка, которые сложились до момента проведения исследования. Следовательно, проводится ретроспективный анализ состояния конкуренции на товарном рынке (п. 2.2 Порядка).</w:t>
      </w:r>
    </w:p>
    <w:p w:rsidR="00D34D11" w:rsidRPr="00B61D86" w:rsidRDefault="00D34D11" w:rsidP="003F5048">
      <w:pPr>
        <w:pStyle w:val="a5"/>
        <w:shd w:val="clear" w:color="auto" w:fill="FFFFFF"/>
        <w:spacing w:before="0" w:beforeAutospacing="0" w:after="0" w:afterAutospacing="0"/>
        <w:ind w:firstLine="709"/>
        <w:jc w:val="both"/>
        <w:textAlignment w:val="baseline"/>
        <w:rPr>
          <w:color w:val="000000"/>
        </w:rPr>
      </w:pPr>
      <w:r w:rsidRPr="00B61D86">
        <w:rPr>
          <w:color w:val="000000"/>
        </w:rPr>
        <w:lastRenderedPageBreak/>
        <w:t>В соответствии с Методическими указаниями временной интервал исследования определен в пределах 2012 года. Соответственно, все характеристики рассматриваемого товарного рынка определяются в пределах установленного временного интервала.</w:t>
      </w:r>
    </w:p>
    <w:p w:rsidR="003F5048" w:rsidRPr="00B61D86" w:rsidRDefault="003F5048" w:rsidP="003F5048">
      <w:pPr>
        <w:pStyle w:val="a5"/>
        <w:shd w:val="clear" w:color="auto" w:fill="FFFFFF"/>
        <w:spacing w:before="0" w:beforeAutospacing="0" w:after="0" w:afterAutospacing="0"/>
        <w:ind w:firstLine="709"/>
        <w:jc w:val="both"/>
        <w:textAlignment w:val="baseline"/>
        <w:rPr>
          <w:color w:val="000000"/>
        </w:rPr>
      </w:pPr>
    </w:p>
    <w:p w:rsidR="001D4ADC" w:rsidRPr="00B61D86" w:rsidRDefault="001D4ADC" w:rsidP="003F5048">
      <w:pPr>
        <w:shd w:val="clear" w:color="auto" w:fill="FFFFFF"/>
        <w:tabs>
          <w:tab w:val="left" w:pos="3424"/>
        </w:tabs>
        <w:spacing w:line="302" w:lineRule="exact"/>
        <w:ind w:left="2711"/>
        <w:rPr>
          <w:rFonts w:eastAsia="Times New Roman"/>
          <w:b/>
          <w:bCs/>
          <w:color w:val="000000"/>
          <w:spacing w:val="-6"/>
          <w:sz w:val="24"/>
          <w:szCs w:val="24"/>
        </w:rPr>
      </w:pPr>
      <w:r w:rsidRPr="00B61D86">
        <w:rPr>
          <w:b/>
          <w:bCs/>
          <w:color w:val="000000"/>
          <w:spacing w:val="-8"/>
          <w:sz w:val="24"/>
          <w:szCs w:val="24"/>
          <w:lang w:val="en-US"/>
        </w:rPr>
        <w:t>III</w:t>
      </w:r>
      <w:r w:rsidRPr="00B61D86">
        <w:rPr>
          <w:b/>
          <w:bCs/>
          <w:color w:val="000000"/>
          <w:spacing w:val="-8"/>
          <w:sz w:val="24"/>
          <w:szCs w:val="24"/>
        </w:rPr>
        <w:t>.</w:t>
      </w:r>
      <w:r w:rsidRPr="00B61D86">
        <w:rPr>
          <w:b/>
          <w:bCs/>
          <w:color w:val="000000"/>
          <w:sz w:val="24"/>
          <w:szCs w:val="24"/>
        </w:rPr>
        <w:tab/>
      </w:r>
      <w:r w:rsidRPr="00B61D86">
        <w:rPr>
          <w:rFonts w:eastAsia="Times New Roman"/>
          <w:b/>
          <w:bCs/>
          <w:color w:val="000000"/>
          <w:spacing w:val="-6"/>
          <w:sz w:val="24"/>
          <w:szCs w:val="24"/>
        </w:rPr>
        <w:t>Продуктовые границы рынка</w:t>
      </w:r>
    </w:p>
    <w:p w:rsidR="003F5048" w:rsidRPr="00B61D86" w:rsidRDefault="003F5048" w:rsidP="003F5048">
      <w:pPr>
        <w:shd w:val="clear" w:color="auto" w:fill="FFFFFF"/>
        <w:tabs>
          <w:tab w:val="left" w:pos="3424"/>
        </w:tabs>
        <w:spacing w:line="302" w:lineRule="exact"/>
        <w:ind w:left="2711"/>
        <w:rPr>
          <w:sz w:val="24"/>
          <w:szCs w:val="24"/>
        </w:rPr>
      </w:pPr>
    </w:p>
    <w:p w:rsidR="001D4ADC" w:rsidRPr="00B61D86" w:rsidRDefault="001D4ADC" w:rsidP="003F5048">
      <w:pPr>
        <w:ind w:firstLine="709"/>
        <w:jc w:val="both"/>
        <w:rPr>
          <w:sz w:val="24"/>
          <w:szCs w:val="24"/>
        </w:rPr>
      </w:pPr>
      <w:r w:rsidRPr="00B61D86">
        <w:rPr>
          <w:sz w:val="24"/>
          <w:szCs w:val="24"/>
        </w:rPr>
        <w:t>Предварительное определение товара — автомобильные бензины.</w:t>
      </w:r>
    </w:p>
    <w:p w:rsidR="001D4ADC" w:rsidRPr="00B61D86" w:rsidRDefault="001D4ADC" w:rsidP="003F5048">
      <w:pPr>
        <w:ind w:firstLine="709"/>
        <w:jc w:val="both"/>
        <w:rPr>
          <w:sz w:val="24"/>
          <w:szCs w:val="24"/>
        </w:rPr>
      </w:pPr>
      <w:r w:rsidRPr="00B61D86">
        <w:rPr>
          <w:sz w:val="24"/>
          <w:szCs w:val="24"/>
        </w:rPr>
        <w:t>Согласно      Общероссийскому      классификатору      видов  экономической деятельности, принятому Постановлением Государственного комитета Российской Федерации по стандартизации и метрологии от 06.11.2001 №454-ст, розничная торговля автомобильными бензинами классифицирована в группе 50.50 «Розничная торговля моторным топливом».</w:t>
      </w:r>
    </w:p>
    <w:p w:rsidR="001D4ADC" w:rsidRPr="00B61D86" w:rsidRDefault="001D4ADC" w:rsidP="004A1C7C">
      <w:pPr>
        <w:ind w:firstLine="709"/>
        <w:jc w:val="both"/>
        <w:rPr>
          <w:sz w:val="24"/>
          <w:szCs w:val="24"/>
        </w:rPr>
      </w:pPr>
      <w:r w:rsidRPr="00B61D86">
        <w:rPr>
          <w:sz w:val="24"/>
          <w:szCs w:val="24"/>
        </w:rPr>
        <w:t xml:space="preserve"> Бензины предназначены для поршневых двигателей внутреннего сгорания с</w:t>
      </w:r>
      <w:r w:rsidRPr="00B61D86">
        <w:rPr>
          <w:sz w:val="24"/>
          <w:szCs w:val="24"/>
        </w:rPr>
        <w:br/>
        <w:t>принудительным воспламенением (от искры). ГОСТ по автомобильным бензинам</w:t>
      </w:r>
      <w:r w:rsidRPr="00B61D86">
        <w:rPr>
          <w:sz w:val="24"/>
          <w:szCs w:val="24"/>
        </w:rPr>
        <w:br/>
        <w:t>определяют область применения автомобильных бензинов как моторное топливо</w:t>
      </w:r>
      <w:r w:rsidRPr="00B61D86">
        <w:rPr>
          <w:sz w:val="24"/>
          <w:szCs w:val="24"/>
        </w:rPr>
        <w:br/>
        <w:t xml:space="preserve">для    бензиновых    двигателей    (ГОСТ    </w:t>
      </w:r>
      <w:proofErr w:type="gramStart"/>
      <w:r w:rsidRPr="00B61D86">
        <w:rPr>
          <w:sz w:val="24"/>
          <w:szCs w:val="24"/>
        </w:rPr>
        <w:t>Р</w:t>
      </w:r>
      <w:proofErr w:type="gramEnd"/>
      <w:r w:rsidRPr="00B61D86">
        <w:rPr>
          <w:sz w:val="24"/>
          <w:szCs w:val="24"/>
        </w:rPr>
        <w:t xml:space="preserve">    51866-2002:    </w:t>
      </w:r>
      <w:proofErr w:type="gramStart"/>
      <w:r w:rsidRPr="00B61D86">
        <w:rPr>
          <w:sz w:val="24"/>
          <w:szCs w:val="24"/>
        </w:rPr>
        <w:t>«Настоящий    стандарт  распространяется на неэтилированные бензины, предназначенные для использования в качестве моторного топлива на транспортных средствах с бензиновыми двигателями...»).</w:t>
      </w:r>
      <w:proofErr w:type="gramEnd"/>
    </w:p>
    <w:p w:rsidR="001D4ADC" w:rsidRPr="00B61D86" w:rsidRDefault="001D4ADC" w:rsidP="004A1C7C">
      <w:pPr>
        <w:ind w:firstLine="709"/>
        <w:jc w:val="both"/>
        <w:rPr>
          <w:sz w:val="24"/>
          <w:szCs w:val="24"/>
        </w:rPr>
      </w:pPr>
      <w:r w:rsidRPr="00B61D86">
        <w:rPr>
          <w:sz w:val="24"/>
          <w:szCs w:val="24"/>
        </w:rPr>
        <w:t xml:space="preserve">В настоящее время в Российской Федерации производятся и реализуются 4 основных вида автомобильных бензинов, предназначенных для использования в качестве моторного топлива на транспортных средствах с бензиновыми двигателями: А-76 (ГОСТ 2084-77), АИ-92 (ГОСТ 2084-77, ГОСТ </w:t>
      </w:r>
      <w:proofErr w:type="gramStart"/>
      <w:r w:rsidRPr="00B61D86">
        <w:rPr>
          <w:sz w:val="24"/>
          <w:szCs w:val="24"/>
        </w:rPr>
        <w:t>Р</w:t>
      </w:r>
      <w:proofErr w:type="gramEnd"/>
      <w:r w:rsidRPr="00B61D86">
        <w:rPr>
          <w:sz w:val="24"/>
          <w:szCs w:val="24"/>
        </w:rPr>
        <w:t xml:space="preserve"> 51105-97, ТУ 38.001165-2003, ГОСТ Р 51313-99), АИ-95 (ГОСТ 2084-77, ГОСТ Р 51105-97, ГОСТ Р 51313-99), АИ-98 (ГОСТ Р 51313-99).</w:t>
      </w:r>
    </w:p>
    <w:p w:rsidR="001D4ADC" w:rsidRPr="00B61D86" w:rsidRDefault="001D4ADC" w:rsidP="004A1C7C">
      <w:pPr>
        <w:ind w:firstLine="709"/>
        <w:jc w:val="both"/>
        <w:rPr>
          <w:sz w:val="24"/>
          <w:szCs w:val="24"/>
        </w:rPr>
      </w:pPr>
      <w:r w:rsidRPr="00B61D86">
        <w:rPr>
          <w:sz w:val="24"/>
          <w:szCs w:val="24"/>
        </w:rPr>
        <w:t xml:space="preserve">Вместе с тем распространены также бензины иных марок: Нормаль-80 (ГОСТ </w:t>
      </w:r>
      <w:proofErr w:type="gramStart"/>
      <w:r w:rsidRPr="00B61D86">
        <w:rPr>
          <w:sz w:val="24"/>
          <w:szCs w:val="24"/>
        </w:rPr>
        <w:t>Р</w:t>
      </w:r>
      <w:proofErr w:type="gramEnd"/>
      <w:r w:rsidRPr="00B61D86">
        <w:rPr>
          <w:sz w:val="24"/>
          <w:szCs w:val="24"/>
        </w:rPr>
        <w:t xml:space="preserve"> 51105-97), АИ-80 (ТУ 38.001165-2003), Регуляр-91 (ГОСТ Р 51105-97), Премиум-95 (ГОСТ Р 51105-97), АИ-96 (ТУ 38.001165-2003), Супер-98 (ГОСТ Р 51105-97), Премиум Евро-95 и Супер Евро-98 (ГОСТ Р 51866-2002), </w:t>
      </w:r>
      <w:proofErr w:type="spellStart"/>
      <w:r w:rsidRPr="00B61D86">
        <w:rPr>
          <w:sz w:val="24"/>
          <w:szCs w:val="24"/>
        </w:rPr>
        <w:t>Регуляр</w:t>
      </w:r>
      <w:proofErr w:type="spellEnd"/>
      <w:r w:rsidRPr="00B61D86">
        <w:rPr>
          <w:sz w:val="24"/>
          <w:szCs w:val="24"/>
        </w:rPr>
        <w:t xml:space="preserve"> Евро-92 (ГОСТ Р 51866-2002) и другие.</w:t>
      </w:r>
    </w:p>
    <w:p w:rsidR="001D4ADC" w:rsidRPr="00B61D86" w:rsidRDefault="001D4ADC" w:rsidP="004A1C7C">
      <w:pPr>
        <w:ind w:firstLine="709"/>
        <w:jc w:val="both"/>
        <w:rPr>
          <w:sz w:val="24"/>
          <w:szCs w:val="24"/>
        </w:rPr>
      </w:pPr>
      <w:r w:rsidRPr="00B61D86">
        <w:rPr>
          <w:sz w:val="24"/>
          <w:szCs w:val="24"/>
        </w:rPr>
        <w:t>Спецификация топлива, которое допустимо применять в конкретных бензиновых двигателях, определяется производителем двигателей. В технических паспортах (инструкциях по эксплуатации) автомобилей приводятся физико-химические эксплуатационные показатели бензинов, исходя из которых, пользователь автомобиля определяет соответствующую марку бензина для использования в качестве моторного топлива.</w:t>
      </w:r>
    </w:p>
    <w:p w:rsidR="001D4ADC" w:rsidRPr="00B61D86" w:rsidRDefault="001D4ADC" w:rsidP="00C87C36">
      <w:pPr>
        <w:jc w:val="both"/>
        <w:rPr>
          <w:sz w:val="24"/>
          <w:szCs w:val="24"/>
        </w:rPr>
      </w:pPr>
      <w:r w:rsidRPr="00B61D86">
        <w:rPr>
          <w:sz w:val="24"/>
          <w:szCs w:val="24"/>
        </w:rPr>
        <w:t xml:space="preserve">    </w:t>
      </w:r>
      <w:r w:rsidR="00C87C36" w:rsidRPr="00B61D86">
        <w:rPr>
          <w:sz w:val="24"/>
          <w:szCs w:val="24"/>
        </w:rPr>
        <w:t xml:space="preserve">  </w:t>
      </w:r>
      <w:r w:rsidR="004A1C7C" w:rsidRPr="00B61D86">
        <w:rPr>
          <w:sz w:val="24"/>
          <w:szCs w:val="24"/>
        </w:rPr>
        <w:t xml:space="preserve">  </w:t>
      </w:r>
      <w:r w:rsidR="00C87C36" w:rsidRPr="00B61D86">
        <w:rPr>
          <w:sz w:val="24"/>
          <w:szCs w:val="24"/>
        </w:rPr>
        <w:t xml:space="preserve">   </w:t>
      </w:r>
      <w:r w:rsidRPr="00B61D86">
        <w:rPr>
          <w:sz w:val="24"/>
          <w:szCs w:val="24"/>
        </w:rPr>
        <w:t>На практике единственным существенным показателем, классифицирующим</w:t>
      </w:r>
      <w:r w:rsidRPr="00B61D86">
        <w:rPr>
          <w:sz w:val="24"/>
          <w:szCs w:val="24"/>
        </w:rPr>
        <w:br/>
        <w:t>автомобильные бензины, является октановое число моторного топлива (далее - ОЧ).</w:t>
      </w:r>
      <w:r w:rsidRPr="00B61D86">
        <w:rPr>
          <w:sz w:val="24"/>
          <w:szCs w:val="24"/>
        </w:rPr>
        <w:br/>
      </w:r>
      <w:proofErr w:type="gramStart"/>
      <w:r w:rsidRPr="00B61D86">
        <w:rPr>
          <w:sz w:val="24"/>
          <w:szCs w:val="24"/>
        </w:rPr>
        <w:t>По ОЧ автомобильные бензины разделяются на две подгруппы, что и является</w:t>
      </w:r>
      <w:r w:rsidRPr="00B61D86">
        <w:rPr>
          <w:sz w:val="24"/>
          <w:szCs w:val="24"/>
        </w:rPr>
        <w:br/>
        <w:t>существенным различием:</w:t>
      </w:r>
      <w:r w:rsidR="00C87C36" w:rsidRPr="00B61D86">
        <w:rPr>
          <w:sz w:val="24"/>
          <w:szCs w:val="24"/>
        </w:rPr>
        <w:t xml:space="preserve"> </w:t>
      </w:r>
      <w:r w:rsidRPr="00B61D86">
        <w:rPr>
          <w:sz w:val="24"/>
          <w:szCs w:val="24"/>
        </w:rPr>
        <w:t>низкооктановые бензины - А-76, АИ-80, Нормаль-80 (ОЧ 76,0 по моторному</w:t>
      </w:r>
      <w:r w:rsidR="00C87C36" w:rsidRPr="00B61D86">
        <w:rPr>
          <w:sz w:val="24"/>
          <w:szCs w:val="24"/>
        </w:rPr>
        <w:t xml:space="preserve"> </w:t>
      </w:r>
      <w:r w:rsidRPr="00B61D86">
        <w:rPr>
          <w:sz w:val="24"/>
          <w:szCs w:val="24"/>
        </w:rPr>
        <w:t>методу и 80,0 по исследовательскому методу);</w:t>
      </w:r>
      <w:r w:rsidR="00C87C36" w:rsidRPr="00B61D86">
        <w:rPr>
          <w:sz w:val="24"/>
          <w:szCs w:val="24"/>
        </w:rPr>
        <w:t xml:space="preserve"> </w:t>
      </w:r>
      <w:r w:rsidRPr="00B61D86">
        <w:rPr>
          <w:sz w:val="24"/>
          <w:szCs w:val="24"/>
        </w:rPr>
        <w:t>высокооктановые бензины -   Регуляр-91, АИ-92, АИ-96, Супер-98, Премиум</w:t>
      </w:r>
      <w:r w:rsidR="00C87C36" w:rsidRPr="00B61D86">
        <w:rPr>
          <w:sz w:val="24"/>
          <w:szCs w:val="24"/>
        </w:rPr>
        <w:t xml:space="preserve"> </w:t>
      </w:r>
      <w:r w:rsidRPr="00B61D86">
        <w:rPr>
          <w:sz w:val="24"/>
          <w:szCs w:val="24"/>
        </w:rPr>
        <w:t xml:space="preserve">Евро-95, Супер Евро-98, </w:t>
      </w:r>
      <w:proofErr w:type="spellStart"/>
      <w:r w:rsidRPr="00B61D86">
        <w:rPr>
          <w:sz w:val="24"/>
          <w:szCs w:val="24"/>
        </w:rPr>
        <w:t>Регуляр</w:t>
      </w:r>
      <w:proofErr w:type="spellEnd"/>
      <w:r w:rsidRPr="00B61D86">
        <w:rPr>
          <w:sz w:val="24"/>
          <w:szCs w:val="24"/>
        </w:rPr>
        <w:t xml:space="preserve"> Евро-92 и другие (ОЧ 82,5 - 88 по моторному</w:t>
      </w:r>
      <w:r w:rsidR="00C87C36" w:rsidRPr="00B61D86">
        <w:rPr>
          <w:sz w:val="24"/>
          <w:szCs w:val="24"/>
        </w:rPr>
        <w:t xml:space="preserve"> </w:t>
      </w:r>
      <w:r w:rsidRPr="00B61D86">
        <w:rPr>
          <w:sz w:val="24"/>
          <w:szCs w:val="24"/>
        </w:rPr>
        <w:t>методу, 91 - 98 по исследовательскому методу).</w:t>
      </w:r>
      <w:proofErr w:type="gramEnd"/>
    </w:p>
    <w:p w:rsidR="001D4ADC" w:rsidRPr="00B61D86" w:rsidRDefault="001D4ADC" w:rsidP="00C87C36">
      <w:pPr>
        <w:jc w:val="both"/>
        <w:rPr>
          <w:sz w:val="24"/>
          <w:szCs w:val="24"/>
        </w:rPr>
      </w:pPr>
      <w:r w:rsidRPr="00B61D86">
        <w:rPr>
          <w:sz w:val="24"/>
          <w:szCs w:val="24"/>
        </w:rPr>
        <w:tab/>
        <w:t>Таким образом, исходя из дифференциации по функциональному назначению,</w:t>
      </w:r>
      <w:r w:rsidRPr="00B61D86">
        <w:rPr>
          <w:sz w:val="24"/>
          <w:szCs w:val="24"/>
        </w:rPr>
        <w:br/>
        <w:t>применению, качественным и техническим характеристикам в целях исследования</w:t>
      </w:r>
      <w:r w:rsidRPr="00B61D86">
        <w:rPr>
          <w:sz w:val="24"/>
          <w:szCs w:val="24"/>
        </w:rPr>
        <w:br/>
        <w:t>розничных рынков автомобильных бензинов можно выделить следующие товары:</w:t>
      </w:r>
    </w:p>
    <w:p w:rsidR="001D4ADC" w:rsidRPr="00B61D86" w:rsidRDefault="001D4ADC" w:rsidP="00C87C36">
      <w:pPr>
        <w:jc w:val="both"/>
        <w:rPr>
          <w:sz w:val="24"/>
          <w:szCs w:val="24"/>
        </w:rPr>
      </w:pPr>
      <w:r w:rsidRPr="00B61D86">
        <w:rPr>
          <w:sz w:val="24"/>
          <w:szCs w:val="24"/>
        </w:rPr>
        <w:tab/>
        <w:t xml:space="preserve">      </w:t>
      </w:r>
      <w:r w:rsidR="00C87C36" w:rsidRPr="00B61D86">
        <w:rPr>
          <w:sz w:val="24"/>
          <w:szCs w:val="24"/>
        </w:rPr>
        <w:t xml:space="preserve">                                                                                                                        </w:t>
      </w:r>
      <w:r w:rsidRPr="00B61D86">
        <w:rPr>
          <w:sz w:val="24"/>
          <w:szCs w:val="24"/>
        </w:rPr>
        <w:t>Таблица 1</w:t>
      </w:r>
    </w:p>
    <w:tbl>
      <w:tblPr>
        <w:tblStyle w:val="a3"/>
        <w:tblW w:w="0" w:type="auto"/>
        <w:tblInd w:w="22" w:type="dxa"/>
        <w:tblLook w:val="04A0" w:firstRow="1" w:lastRow="0" w:firstColumn="1" w:lastColumn="0" w:noHBand="0" w:noVBand="1"/>
      </w:tblPr>
      <w:tblGrid>
        <w:gridCol w:w="2507"/>
        <w:gridCol w:w="2509"/>
        <w:gridCol w:w="2508"/>
        <w:gridCol w:w="2509"/>
      </w:tblGrid>
      <w:tr w:rsidR="001D4ADC" w:rsidRPr="00B61D86" w:rsidTr="00D34D11">
        <w:tc>
          <w:tcPr>
            <w:tcW w:w="2507" w:type="dxa"/>
          </w:tcPr>
          <w:p w:rsidR="001D4ADC" w:rsidRPr="00B61D86" w:rsidRDefault="001D4ADC" w:rsidP="00D34D11">
            <w:pPr>
              <w:tabs>
                <w:tab w:val="left" w:pos="706"/>
              </w:tabs>
              <w:spacing w:after="32" w:line="306" w:lineRule="exact"/>
              <w:rPr>
                <w:rFonts w:ascii="Times New Roman" w:hAnsi="Times New Roman"/>
                <w:sz w:val="24"/>
                <w:szCs w:val="24"/>
              </w:rPr>
            </w:pPr>
            <w:r w:rsidRPr="00B61D86">
              <w:rPr>
                <w:rFonts w:ascii="Times New Roman" w:hAnsi="Times New Roman"/>
                <w:sz w:val="24"/>
                <w:szCs w:val="24"/>
              </w:rPr>
              <w:t>Группа товаров</w:t>
            </w:r>
          </w:p>
        </w:tc>
        <w:tc>
          <w:tcPr>
            <w:tcW w:w="2509" w:type="dxa"/>
          </w:tcPr>
          <w:p w:rsidR="001D4ADC" w:rsidRPr="00B61D86" w:rsidRDefault="001D4ADC" w:rsidP="00D34D11">
            <w:pPr>
              <w:tabs>
                <w:tab w:val="left" w:pos="706"/>
              </w:tabs>
              <w:spacing w:after="32" w:line="306" w:lineRule="exact"/>
              <w:rPr>
                <w:rFonts w:ascii="Times New Roman" w:hAnsi="Times New Roman"/>
                <w:sz w:val="24"/>
                <w:szCs w:val="24"/>
              </w:rPr>
            </w:pPr>
            <w:r w:rsidRPr="00B61D86">
              <w:rPr>
                <w:rFonts w:ascii="Times New Roman" w:hAnsi="Times New Roman"/>
                <w:sz w:val="24"/>
                <w:szCs w:val="24"/>
              </w:rPr>
              <w:t>Подгруппа товаров</w:t>
            </w:r>
          </w:p>
        </w:tc>
        <w:tc>
          <w:tcPr>
            <w:tcW w:w="2508" w:type="dxa"/>
          </w:tcPr>
          <w:p w:rsidR="001D4ADC" w:rsidRPr="00B61D86" w:rsidRDefault="001D4ADC" w:rsidP="00D34D11">
            <w:pPr>
              <w:tabs>
                <w:tab w:val="left" w:pos="706"/>
              </w:tabs>
              <w:spacing w:after="32" w:line="306" w:lineRule="exact"/>
              <w:rPr>
                <w:rFonts w:ascii="Times New Roman" w:hAnsi="Times New Roman"/>
                <w:sz w:val="24"/>
                <w:szCs w:val="24"/>
              </w:rPr>
            </w:pPr>
            <w:r w:rsidRPr="00B61D86">
              <w:rPr>
                <w:rFonts w:ascii="Times New Roman" w:hAnsi="Times New Roman"/>
                <w:sz w:val="24"/>
                <w:szCs w:val="24"/>
              </w:rPr>
              <w:t>Товары (марки)</w:t>
            </w:r>
          </w:p>
        </w:tc>
        <w:tc>
          <w:tcPr>
            <w:tcW w:w="2509" w:type="dxa"/>
          </w:tcPr>
          <w:p w:rsidR="001D4ADC" w:rsidRPr="00B61D86" w:rsidRDefault="001D4ADC" w:rsidP="00D34D11">
            <w:pPr>
              <w:tabs>
                <w:tab w:val="left" w:pos="706"/>
              </w:tabs>
              <w:spacing w:after="32" w:line="306" w:lineRule="exact"/>
              <w:rPr>
                <w:rFonts w:ascii="Times New Roman" w:hAnsi="Times New Roman"/>
                <w:sz w:val="24"/>
                <w:szCs w:val="24"/>
              </w:rPr>
            </w:pPr>
            <w:r w:rsidRPr="00B61D86">
              <w:rPr>
                <w:rFonts w:ascii="Times New Roman" w:hAnsi="Times New Roman"/>
                <w:sz w:val="24"/>
                <w:szCs w:val="24"/>
              </w:rPr>
              <w:t>Октановое число</w:t>
            </w:r>
          </w:p>
        </w:tc>
      </w:tr>
      <w:tr w:rsidR="001D4ADC" w:rsidRPr="00B61D86" w:rsidTr="00D34D11">
        <w:tc>
          <w:tcPr>
            <w:tcW w:w="2507" w:type="dxa"/>
            <w:vMerge w:val="restart"/>
          </w:tcPr>
          <w:p w:rsidR="001D4ADC" w:rsidRPr="00B61D86" w:rsidRDefault="001D4ADC" w:rsidP="00D34D11">
            <w:pPr>
              <w:tabs>
                <w:tab w:val="left" w:pos="706"/>
              </w:tabs>
              <w:spacing w:after="32" w:line="306" w:lineRule="exact"/>
              <w:rPr>
                <w:rFonts w:ascii="Times New Roman" w:hAnsi="Times New Roman"/>
                <w:sz w:val="24"/>
                <w:szCs w:val="24"/>
              </w:rPr>
            </w:pPr>
            <w:r w:rsidRPr="00B61D86">
              <w:rPr>
                <w:rFonts w:ascii="Times New Roman" w:hAnsi="Times New Roman"/>
                <w:sz w:val="24"/>
                <w:szCs w:val="24"/>
              </w:rPr>
              <w:t>Автомобильные бензины (ОКП 02 5110)</w:t>
            </w:r>
          </w:p>
        </w:tc>
        <w:tc>
          <w:tcPr>
            <w:tcW w:w="2509" w:type="dxa"/>
          </w:tcPr>
          <w:p w:rsidR="001D4ADC" w:rsidRPr="00B61D86" w:rsidRDefault="001D4ADC" w:rsidP="00D34D11">
            <w:pPr>
              <w:tabs>
                <w:tab w:val="left" w:pos="706"/>
              </w:tabs>
              <w:spacing w:after="32" w:line="306" w:lineRule="exact"/>
              <w:rPr>
                <w:rFonts w:ascii="Times New Roman" w:hAnsi="Times New Roman"/>
                <w:sz w:val="24"/>
                <w:szCs w:val="24"/>
              </w:rPr>
            </w:pPr>
            <w:r w:rsidRPr="00B61D86">
              <w:rPr>
                <w:rFonts w:ascii="Times New Roman" w:hAnsi="Times New Roman"/>
                <w:sz w:val="24"/>
                <w:szCs w:val="24"/>
              </w:rPr>
              <w:t>Низкооктановые</w:t>
            </w:r>
          </w:p>
        </w:tc>
        <w:tc>
          <w:tcPr>
            <w:tcW w:w="2508" w:type="dxa"/>
          </w:tcPr>
          <w:p w:rsidR="001D4ADC" w:rsidRPr="00B61D86" w:rsidRDefault="001D4ADC" w:rsidP="00D34D11">
            <w:pPr>
              <w:tabs>
                <w:tab w:val="left" w:pos="706"/>
              </w:tabs>
              <w:spacing w:after="32" w:line="306" w:lineRule="exact"/>
              <w:rPr>
                <w:rFonts w:ascii="Times New Roman" w:hAnsi="Times New Roman"/>
                <w:sz w:val="24"/>
                <w:szCs w:val="24"/>
              </w:rPr>
            </w:pPr>
            <w:r w:rsidRPr="00B61D86">
              <w:rPr>
                <w:rFonts w:ascii="Times New Roman" w:hAnsi="Times New Roman"/>
                <w:sz w:val="24"/>
                <w:szCs w:val="24"/>
              </w:rPr>
              <w:t>А-76 (АИ-80)</w:t>
            </w:r>
          </w:p>
        </w:tc>
        <w:tc>
          <w:tcPr>
            <w:tcW w:w="2509" w:type="dxa"/>
          </w:tcPr>
          <w:p w:rsidR="001D4ADC" w:rsidRPr="00B61D86" w:rsidRDefault="001D4ADC" w:rsidP="00D34D11">
            <w:pPr>
              <w:tabs>
                <w:tab w:val="left" w:pos="706"/>
              </w:tabs>
              <w:spacing w:after="32" w:line="306" w:lineRule="exact"/>
              <w:rPr>
                <w:rFonts w:ascii="Times New Roman" w:hAnsi="Times New Roman"/>
                <w:sz w:val="24"/>
                <w:szCs w:val="24"/>
              </w:rPr>
            </w:pPr>
            <w:r w:rsidRPr="00B61D86">
              <w:rPr>
                <w:rFonts w:ascii="Times New Roman" w:hAnsi="Times New Roman"/>
                <w:sz w:val="24"/>
                <w:szCs w:val="24"/>
              </w:rPr>
              <w:t>76,0 по моторному методу и 80,0 по исследовательскому методу</w:t>
            </w:r>
          </w:p>
        </w:tc>
      </w:tr>
      <w:tr w:rsidR="001D4ADC" w:rsidRPr="00B61D86" w:rsidTr="00D34D11">
        <w:tc>
          <w:tcPr>
            <w:tcW w:w="2507" w:type="dxa"/>
            <w:vMerge/>
          </w:tcPr>
          <w:p w:rsidR="001D4ADC" w:rsidRPr="00B61D86" w:rsidRDefault="001D4ADC" w:rsidP="00D34D11">
            <w:pPr>
              <w:tabs>
                <w:tab w:val="left" w:pos="706"/>
              </w:tabs>
              <w:spacing w:after="32" w:line="306" w:lineRule="exact"/>
              <w:rPr>
                <w:rFonts w:ascii="Times New Roman" w:hAnsi="Times New Roman"/>
                <w:sz w:val="24"/>
                <w:szCs w:val="24"/>
              </w:rPr>
            </w:pPr>
          </w:p>
        </w:tc>
        <w:tc>
          <w:tcPr>
            <w:tcW w:w="2509" w:type="dxa"/>
            <w:vMerge w:val="restart"/>
          </w:tcPr>
          <w:p w:rsidR="001D4ADC" w:rsidRPr="00B61D86" w:rsidRDefault="001D4ADC" w:rsidP="00D34D11">
            <w:pPr>
              <w:tabs>
                <w:tab w:val="left" w:pos="706"/>
              </w:tabs>
              <w:spacing w:after="32" w:line="306" w:lineRule="exact"/>
              <w:rPr>
                <w:rFonts w:ascii="Times New Roman" w:hAnsi="Times New Roman"/>
                <w:sz w:val="24"/>
                <w:szCs w:val="24"/>
              </w:rPr>
            </w:pPr>
            <w:r w:rsidRPr="00B61D86">
              <w:rPr>
                <w:rFonts w:ascii="Times New Roman" w:hAnsi="Times New Roman"/>
                <w:sz w:val="24"/>
                <w:szCs w:val="24"/>
              </w:rPr>
              <w:t>Высокооктановые</w:t>
            </w:r>
          </w:p>
        </w:tc>
        <w:tc>
          <w:tcPr>
            <w:tcW w:w="2508" w:type="dxa"/>
          </w:tcPr>
          <w:p w:rsidR="001D4ADC" w:rsidRPr="00B61D86" w:rsidRDefault="001D4ADC" w:rsidP="00D34D11">
            <w:pPr>
              <w:tabs>
                <w:tab w:val="left" w:pos="706"/>
              </w:tabs>
              <w:spacing w:after="32" w:line="306" w:lineRule="exact"/>
              <w:rPr>
                <w:rFonts w:ascii="Times New Roman" w:hAnsi="Times New Roman"/>
                <w:sz w:val="24"/>
                <w:szCs w:val="24"/>
              </w:rPr>
            </w:pPr>
            <w:r w:rsidRPr="00B61D86">
              <w:rPr>
                <w:rFonts w:ascii="Times New Roman" w:hAnsi="Times New Roman"/>
                <w:sz w:val="24"/>
                <w:szCs w:val="24"/>
              </w:rPr>
              <w:t>АИ-92 (Аи-91, Аи-93)</w:t>
            </w:r>
          </w:p>
        </w:tc>
        <w:tc>
          <w:tcPr>
            <w:tcW w:w="2509" w:type="dxa"/>
            <w:vMerge w:val="restart"/>
          </w:tcPr>
          <w:p w:rsidR="001D4ADC" w:rsidRPr="00B61D86" w:rsidRDefault="001D4ADC" w:rsidP="00D34D11">
            <w:pPr>
              <w:tabs>
                <w:tab w:val="left" w:pos="706"/>
              </w:tabs>
              <w:spacing w:after="32" w:line="306" w:lineRule="exact"/>
              <w:rPr>
                <w:rFonts w:ascii="Times New Roman" w:hAnsi="Times New Roman"/>
                <w:sz w:val="24"/>
                <w:szCs w:val="24"/>
              </w:rPr>
            </w:pPr>
            <w:r w:rsidRPr="00B61D86">
              <w:rPr>
                <w:rFonts w:ascii="Times New Roman" w:hAnsi="Times New Roman"/>
                <w:sz w:val="24"/>
                <w:szCs w:val="24"/>
              </w:rPr>
              <w:t>82,5-88 по моторному методу, 91-98</w:t>
            </w:r>
          </w:p>
        </w:tc>
      </w:tr>
      <w:tr w:rsidR="001D4ADC" w:rsidRPr="00B61D86" w:rsidTr="00D34D11">
        <w:tc>
          <w:tcPr>
            <w:tcW w:w="2507" w:type="dxa"/>
            <w:vMerge/>
          </w:tcPr>
          <w:p w:rsidR="001D4ADC" w:rsidRPr="00B61D86" w:rsidRDefault="001D4ADC" w:rsidP="00D34D11">
            <w:pPr>
              <w:tabs>
                <w:tab w:val="left" w:pos="706"/>
              </w:tabs>
              <w:spacing w:after="32" w:line="306" w:lineRule="exact"/>
              <w:rPr>
                <w:rFonts w:ascii="Times New Roman" w:hAnsi="Times New Roman"/>
                <w:sz w:val="24"/>
                <w:szCs w:val="24"/>
              </w:rPr>
            </w:pPr>
          </w:p>
        </w:tc>
        <w:tc>
          <w:tcPr>
            <w:tcW w:w="2509" w:type="dxa"/>
            <w:vMerge/>
          </w:tcPr>
          <w:p w:rsidR="001D4ADC" w:rsidRPr="00B61D86" w:rsidRDefault="001D4ADC" w:rsidP="00D34D11">
            <w:pPr>
              <w:tabs>
                <w:tab w:val="left" w:pos="706"/>
              </w:tabs>
              <w:spacing w:after="32" w:line="306" w:lineRule="exact"/>
              <w:rPr>
                <w:rFonts w:ascii="Times New Roman" w:hAnsi="Times New Roman"/>
                <w:sz w:val="24"/>
                <w:szCs w:val="24"/>
              </w:rPr>
            </w:pPr>
          </w:p>
        </w:tc>
        <w:tc>
          <w:tcPr>
            <w:tcW w:w="2508" w:type="dxa"/>
          </w:tcPr>
          <w:p w:rsidR="001D4ADC" w:rsidRPr="00B61D86" w:rsidRDefault="001D4ADC" w:rsidP="00D34D11">
            <w:pPr>
              <w:tabs>
                <w:tab w:val="left" w:pos="706"/>
              </w:tabs>
              <w:spacing w:after="32" w:line="306" w:lineRule="exact"/>
              <w:rPr>
                <w:rFonts w:ascii="Times New Roman" w:hAnsi="Times New Roman"/>
                <w:sz w:val="24"/>
                <w:szCs w:val="24"/>
              </w:rPr>
            </w:pPr>
            <w:r w:rsidRPr="00B61D86">
              <w:rPr>
                <w:rFonts w:ascii="Times New Roman" w:hAnsi="Times New Roman"/>
                <w:sz w:val="24"/>
                <w:szCs w:val="24"/>
              </w:rPr>
              <w:t>Ам-95 (Аи-96)</w:t>
            </w:r>
          </w:p>
        </w:tc>
        <w:tc>
          <w:tcPr>
            <w:tcW w:w="2509" w:type="dxa"/>
            <w:vMerge/>
          </w:tcPr>
          <w:p w:rsidR="001D4ADC" w:rsidRPr="00B61D86" w:rsidRDefault="001D4ADC" w:rsidP="00D34D11">
            <w:pPr>
              <w:tabs>
                <w:tab w:val="left" w:pos="706"/>
              </w:tabs>
              <w:spacing w:after="32" w:line="306" w:lineRule="exact"/>
              <w:rPr>
                <w:rFonts w:ascii="Times New Roman" w:hAnsi="Times New Roman"/>
                <w:sz w:val="24"/>
                <w:szCs w:val="24"/>
              </w:rPr>
            </w:pPr>
          </w:p>
        </w:tc>
      </w:tr>
      <w:tr w:rsidR="001D4ADC" w:rsidRPr="00B61D86" w:rsidTr="00D34D11">
        <w:tc>
          <w:tcPr>
            <w:tcW w:w="2507" w:type="dxa"/>
            <w:vMerge/>
          </w:tcPr>
          <w:p w:rsidR="001D4ADC" w:rsidRPr="00B61D86" w:rsidRDefault="001D4ADC" w:rsidP="00D34D11">
            <w:pPr>
              <w:tabs>
                <w:tab w:val="left" w:pos="706"/>
              </w:tabs>
              <w:spacing w:after="32" w:line="306" w:lineRule="exact"/>
              <w:rPr>
                <w:rFonts w:ascii="Times New Roman" w:hAnsi="Times New Roman"/>
                <w:sz w:val="24"/>
                <w:szCs w:val="24"/>
              </w:rPr>
            </w:pPr>
          </w:p>
        </w:tc>
        <w:tc>
          <w:tcPr>
            <w:tcW w:w="2509" w:type="dxa"/>
            <w:vMerge/>
          </w:tcPr>
          <w:p w:rsidR="001D4ADC" w:rsidRPr="00B61D86" w:rsidRDefault="001D4ADC" w:rsidP="00D34D11">
            <w:pPr>
              <w:tabs>
                <w:tab w:val="left" w:pos="706"/>
              </w:tabs>
              <w:spacing w:after="32" w:line="306" w:lineRule="exact"/>
              <w:rPr>
                <w:rFonts w:ascii="Times New Roman" w:hAnsi="Times New Roman"/>
                <w:sz w:val="24"/>
                <w:szCs w:val="24"/>
              </w:rPr>
            </w:pPr>
          </w:p>
        </w:tc>
        <w:tc>
          <w:tcPr>
            <w:tcW w:w="2508" w:type="dxa"/>
          </w:tcPr>
          <w:p w:rsidR="001D4ADC" w:rsidRPr="00B61D86" w:rsidRDefault="001D4ADC" w:rsidP="00D34D11">
            <w:pPr>
              <w:tabs>
                <w:tab w:val="left" w:pos="706"/>
              </w:tabs>
              <w:spacing w:after="32" w:line="306" w:lineRule="exact"/>
              <w:rPr>
                <w:rFonts w:ascii="Times New Roman" w:hAnsi="Times New Roman"/>
                <w:sz w:val="24"/>
                <w:szCs w:val="24"/>
              </w:rPr>
            </w:pPr>
            <w:r w:rsidRPr="00B61D86">
              <w:rPr>
                <w:rFonts w:ascii="Times New Roman" w:hAnsi="Times New Roman"/>
                <w:sz w:val="24"/>
                <w:szCs w:val="24"/>
              </w:rPr>
              <w:t>Аи-98</w:t>
            </w:r>
          </w:p>
        </w:tc>
        <w:tc>
          <w:tcPr>
            <w:tcW w:w="2509" w:type="dxa"/>
            <w:vMerge/>
          </w:tcPr>
          <w:p w:rsidR="001D4ADC" w:rsidRPr="00B61D86" w:rsidRDefault="001D4ADC" w:rsidP="00D34D11">
            <w:pPr>
              <w:tabs>
                <w:tab w:val="left" w:pos="706"/>
              </w:tabs>
              <w:spacing w:after="32" w:line="306" w:lineRule="exact"/>
              <w:rPr>
                <w:rFonts w:ascii="Times New Roman" w:hAnsi="Times New Roman"/>
                <w:sz w:val="24"/>
                <w:szCs w:val="24"/>
              </w:rPr>
            </w:pPr>
          </w:p>
        </w:tc>
      </w:tr>
    </w:tbl>
    <w:p w:rsidR="001D4ADC" w:rsidRPr="00B61D86" w:rsidRDefault="001D4ADC" w:rsidP="001D4ADC">
      <w:pPr>
        <w:ind w:firstLine="720"/>
        <w:jc w:val="both"/>
        <w:rPr>
          <w:sz w:val="24"/>
          <w:szCs w:val="24"/>
        </w:rPr>
      </w:pPr>
      <w:r w:rsidRPr="00B61D86">
        <w:rPr>
          <w:sz w:val="24"/>
          <w:szCs w:val="24"/>
        </w:rPr>
        <w:t xml:space="preserve">Исходя из специфики локальных розничных рынков автомобильных бензинов </w:t>
      </w:r>
      <w:r w:rsidRPr="00B61D86">
        <w:rPr>
          <w:sz w:val="24"/>
          <w:szCs w:val="24"/>
        </w:rPr>
        <w:lastRenderedPageBreak/>
        <w:t>(наличие/отсутствие конкретных марок автомобильных бензинов, состав автопарка потребителей, сложившиеся предпочтения) продуктовые границы данных товаров следует рассматривать по подгруппам ОЧ (низкооктановые и высокооктановые) либо по маркам автомобильных бензинов.</w:t>
      </w:r>
    </w:p>
    <w:p w:rsidR="001D4ADC" w:rsidRPr="00B61D86" w:rsidRDefault="001D4ADC" w:rsidP="001D4ADC">
      <w:pPr>
        <w:ind w:firstLine="720"/>
        <w:jc w:val="both"/>
        <w:rPr>
          <w:sz w:val="24"/>
          <w:szCs w:val="24"/>
        </w:rPr>
      </w:pPr>
      <w:proofErr w:type="spellStart"/>
      <w:r w:rsidRPr="00B61D86">
        <w:rPr>
          <w:sz w:val="24"/>
          <w:szCs w:val="24"/>
        </w:rPr>
        <w:t>Брендированные</w:t>
      </w:r>
      <w:proofErr w:type="spellEnd"/>
      <w:r w:rsidRPr="00B61D86">
        <w:rPr>
          <w:sz w:val="24"/>
          <w:szCs w:val="24"/>
        </w:rPr>
        <w:t xml:space="preserve"> автомобильные бензины различных марок (</w:t>
      </w:r>
      <w:proofErr w:type="spellStart"/>
      <w:r w:rsidR="003313EF" w:rsidRPr="00B61D86">
        <w:rPr>
          <w:sz w:val="24"/>
          <w:szCs w:val="24"/>
        </w:rPr>
        <w:t>Ultimate</w:t>
      </w:r>
      <w:proofErr w:type="spellEnd"/>
      <w:r w:rsidR="003313EF" w:rsidRPr="00B61D86">
        <w:rPr>
          <w:sz w:val="24"/>
          <w:szCs w:val="24"/>
        </w:rPr>
        <w:t xml:space="preserve">, </w:t>
      </w:r>
      <w:proofErr w:type="spellStart"/>
      <w:r w:rsidR="003313EF" w:rsidRPr="00B61D86">
        <w:rPr>
          <w:sz w:val="24"/>
          <w:szCs w:val="24"/>
        </w:rPr>
        <w:t>Pulser</w:t>
      </w:r>
      <w:proofErr w:type="spellEnd"/>
      <w:r w:rsidR="003313EF" w:rsidRPr="00B61D86">
        <w:rPr>
          <w:sz w:val="24"/>
          <w:szCs w:val="24"/>
        </w:rPr>
        <w:t>, V-</w:t>
      </w:r>
      <w:proofErr w:type="spellStart"/>
      <w:r w:rsidR="003313EF" w:rsidRPr="00B61D86">
        <w:rPr>
          <w:sz w:val="24"/>
          <w:szCs w:val="24"/>
        </w:rPr>
        <w:t>Power</w:t>
      </w:r>
      <w:proofErr w:type="spellEnd"/>
      <w:r w:rsidR="003313EF" w:rsidRPr="00B61D86">
        <w:rPr>
          <w:sz w:val="24"/>
          <w:szCs w:val="24"/>
        </w:rPr>
        <w:t>, G-</w:t>
      </w:r>
      <w:proofErr w:type="spellStart"/>
      <w:r w:rsidR="003313EF" w:rsidRPr="00B61D86">
        <w:rPr>
          <w:sz w:val="24"/>
          <w:szCs w:val="24"/>
        </w:rPr>
        <w:t>Drive</w:t>
      </w:r>
      <w:proofErr w:type="spellEnd"/>
      <w:r w:rsidR="003313EF" w:rsidRPr="00B61D86">
        <w:rPr>
          <w:sz w:val="24"/>
          <w:szCs w:val="24"/>
        </w:rPr>
        <w:t>, ЭКТО</w:t>
      </w:r>
      <w:r w:rsidRPr="00B61D86">
        <w:rPr>
          <w:sz w:val="24"/>
          <w:szCs w:val="24"/>
        </w:rPr>
        <w:t xml:space="preserve"> и тому подобное) </w:t>
      </w:r>
      <w:r w:rsidR="00FE6EFF" w:rsidRPr="00B61D86">
        <w:rPr>
          <w:sz w:val="24"/>
          <w:szCs w:val="24"/>
        </w:rPr>
        <w:t xml:space="preserve">в пределах одного ОЧ </w:t>
      </w:r>
      <w:r w:rsidRPr="00B61D86">
        <w:rPr>
          <w:sz w:val="24"/>
          <w:szCs w:val="24"/>
        </w:rPr>
        <w:t xml:space="preserve"> рассматрива</w:t>
      </w:r>
      <w:r w:rsidR="00FE6EFF" w:rsidRPr="00B61D86">
        <w:rPr>
          <w:sz w:val="24"/>
          <w:szCs w:val="24"/>
        </w:rPr>
        <w:t>ется</w:t>
      </w:r>
      <w:r w:rsidRPr="00B61D86">
        <w:rPr>
          <w:sz w:val="24"/>
          <w:szCs w:val="24"/>
        </w:rPr>
        <w:t xml:space="preserve"> как одн</w:t>
      </w:r>
      <w:r w:rsidR="00FE6EFF" w:rsidRPr="00B61D86">
        <w:rPr>
          <w:sz w:val="24"/>
          <w:szCs w:val="24"/>
        </w:rPr>
        <w:t>а</w:t>
      </w:r>
      <w:r w:rsidRPr="00B61D86">
        <w:rPr>
          <w:sz w:val="24"/>
          <w:szCs w:val="24"/>
        </w:rPr>
        <w:t xml:space="preserve"> товарн</w:t>
      </w:r>
      <w:r w:rsidR="00FE6EFF" w:rsidRPr="00B61D86">
        <w:rPr>
          <w:sz w:val="24"/>
          <w:szCs w:val="24"/>
        </w:rPr>
        <w:t>ая группа</w:t>
      </w:r>
      <w:r w:rsidRPr="00B61D86">
        <w:rPr>
          <w:sz w:val="24"/>
          <w:szCs w:val="24"/>
        </w:rPr>
        <w:t>.</w:t>
      </w:r>
    </w:p>
    <w:p w:rsidR="001D4ADC" w:rsidRPr="00B61D86" w:rsidRDefault="001D4ADC" w:rsidP="001D4ADC">
      <w:pPr>
        <w:ind w:firstLine="720"/>
        <w:jc w:val="both"/>
        <w:rPr>
          <w:sz w:val="24"/>
          <w:szCs w:val="24"/>
        </w:rPr>
      </w:pPr>
      <w:r w:rsidRPr="00B61D86">
        <w:rPr>
          <w:sz w:val="24"/>
          <w:szCs w:val="24"/>
        </w:rPr>
        <w:t xml:space="preserve">Также, в целях исключения взаимозаменяемости автомобильных бензинов и газового топлива следует отметить, что для работы автомобиля на сжиженном газе необходима специальная газобаллонная установка. К существенным недостаткам газобаллонных автомобилей можно отнести уменьшение грузоподъемности автомобиля и повышение его </w:t>
      </w:r>
      <w:proofErr w:type="spellStart"/>
      <w:r w:rsidRPr="00B61D86">
        <w:rPr>
          <w:sz w:val="24"/>
          <w:szCs w:val="24"/>
        </w:rPr>
        <w:t>пожароопасности</w:t>
      </w:r>
      <w:proofErr w:type="spellEnd"/>
      <w:r w:rsidRPr="00B61D86">
        <w:rPr>
          <w:sz w:val="24"/>
          <w:szCs w:val="24"/>
        </w:rPr>
        <w:t>. Нельзя не учитывать тот факт, что расположение газовых заправочных станций носит локализованный характер и на отдельных территориях отсутствует возможность заправки данным видом топлива.</w:t>
      </w:r>
    </w:p>
    <w:p w:rsidR="001D4ADC" w:rsidRPr="00B61D86" w:rsidRDefault="001D4ADC" w:rsidP="001D4ADC">
      <w:pPr>
        <w:shd w:val="clear" w:color="auto" w:fill="FFFFFF"/>
        <w:spacing w:line="306" w:lineRule="exact"/>
        <w:ind w:left="11" w:firstLine="680"/>
        <w:jc w:val="both"/>
        <w:rPr>
          <w:sz w:val="24"/>
          <w:szCs w:val="24"/>
        </w:rPr>
      </w:pPr>
      <w:proofErr w:type="gramStart"/>
      <w:r w:rsidRPr="00B61D86">
        <w:rPr>
          <w:sz w:val="24"/>
          <w:szCs w:val="24"/>
        </w:rPr>
        <w:t>На основании изложенного, продуктовые границы настоящего анализа определены как:</w:t>
      </w:r>
      <w:proofErr w:type="gramEnd"/>
    </w:p>
    <w:p w:rsidR="001D4ADC" w:rsidRPr="00B61D86" w:rsidRDefault="001D4ADC" w:rsidP="001D4ADC">
      <w:pPr>
        <w:shd w:val="clear" w:color="auto" w:fill="FFFFFF"/>
        <w:spacing w:line="306" w:lineRule="exact"/>
        <w:ind w:left="11" w:firstLine="680"/>
        <w:jc w:val="both"/>
        <w:rPr>
          <w:sz w:val="24"/>
          <w:szCs w:val="24"/>
        </w:rPr>
      </w:pPr>
      <w:r w:rsidRPr="00B61D86">
        <w:rPr>
          <w:sz w:val="24"/>
          <w:szCs w:val="24"/>
        </w:rPr>
        <w:t>- розничная реализация АИ-80;</w:t>
      </w:r>
    </w:p>
    <w:p w:rsidR="001D4ADC" w:rsidRPr="00B61D86" w:rsidRDefault="001D4ADC" w:rsidP="001D4ADC">
      <w:pPr>
        <w:shd w:val="clear" w:color="auto" w:fill="FFFFFF"/>
        <w:spacing w:line="306" w:lineRule="exact"/>
        <w:ind w:left="11" w:firstLine="680"/>
        <w:jc w:val="both"/>
        <w:rPr>
          <w:sz w:val="24"/>
          <w:szCs w:val="24"/>
        </w:rPr>
      </w:pPr>
      <w:r w:rsidRPr="00B61D86">
        <w:rPr>
          <w:sz w:val="24"/>
          <w:szCs w:val="24"/>
        </w:rPr>
        <w:t>- розничная реализация АИ-92;</w:t>
      </w:r>
    </w:p>
    <w:p w:rsidR="001D4ADC" w:rsidRPr="00B61D86" w:rsidRDefault="001D4ADC" w:rsidP="001D4ADC">
      <w:pPr>
        <w:shd w:val="clear" w:color="auto" w:fill="FFFFFF"/>
        <w:spacing w:line="306" w:lineRule="exact"/>
        <w:ind w:left="11" w:firstLine="680"/>
        <w:jc w:val="both"/>
        <w:rPr>
          <w:sz w:val="24"/>
          <w:szCs w:val="24"/>
        </w:rPr>
      </w:pPr>
      <w:r w:rsidRPr="00B61D86">
        <w:rPr>
          <w:sz w:val="24"/>
          <w:szCs w:val="24"/>
        </w:rPr>
        <w:t>- розничная реализация АИ-95;</w:t>
      </w:r>
    </w:p>
    <w:p w:rsidR="001D4ADC" w:rsidRPr="00B61D86" w:rsidRDefault="001D4ADC" w:rsidP="001D4ADC">
      <w:pPr>
        <w:shd w:val="clear" w:color="auto" w:fill="FFFFFF"/>
        <w:spacing w:line="306" w:lineRule="exact"/>
        <w:ind w:left="11" w:firstLine="680"/>
        <w:jc w:val="both"/>
        <w:rPr>
          <w:sz w:val="24"/>
          <w:szCs w:val="24"/>
        </w:rPr>
      </w:pPr>
      <w:r w:rsidRPr="00B61D86">
        <w:rPr>
          <w:sz w:val="24"/>
          <w:szCs w:val="24"/>
        </w:rPr>
        <w:t>- розничная реализация Аи-98.</w:t>
      </w:r>
    </w:p>
    <w:p w:rsidR="001D4ADC" w:rsidRPr="00B61D86" w:rsidRDefault="001D4ADC" w:rsidP="001D4ADC">
      <w:pPr>
        <w:shd w:val="clear" w:color="auto" w:fill="FFFFFF"/>
        <w:tabs>
          <w:tab w:val="left" w:pos="3200"/>
        </w:tabs>
        <w:spacing w:before="302" w:line="306" w:lineRule="exact"/>
        <w:ind w:left="2567"/>
        <w:rPr>
          <w:sz w:val="24"/>
          <w:szCs w:val="24"/>
        </w:rPr>
      </w:pPr>
      <w:r w:rsidRPr="00B61D86">
        <w:rPr>
          <w:b/>
          <w:bCs/>
          <w:color w:val="000000"/>
          <w:spacing w:val="-7"/>
          <w:sz w:val="24"/>
          <w:szCs w:val="24"/>
          <w:lang w:val="en-US"/>
        </w:rPr>
        <w:t>IV</w:t>
      </w:r>
      <w:r w:rsidRPr="00B61D86">
        <w:rPr>
          <w:b/>
          <w:bCs/>
          <w:color w:val="000000"/>
          <w:spacing w:val="-7"/>
          <w:sz w:val="24"/>
          <w:szCs w:val="24"/>
        </w:rPr>
        <w:t>.</w:t>
      </w:r>
      <w:r w:rsidRPr="00B61D86">
        <w:rPr>
          <w:b/>
          <w:bCs/>
          <w:color w:val="000000"/>
          <w:sz w:val="24"/>
          <w:szCs w:val="24"/>
        </w:rPr>
        <w:tab/>
      </w:r>
      <w:r w:rsidRPr="00B61D86">
        <w:rPr>
          <w:rFonts w:eastAsia="Times New Roman"/>
          <w:b/>
          <w:bCs/>
          <w:color w:val="000000"/>
          <w:spacing w:val="-1"/>
          <w:sz w:val="24"/>
          <w:szCs w:val="24"/>
        </w:rPr>
        <w:t>Географические границы рынка</w:t>
      </w:r>
    </w:p>
    <w:p w:rsidR="00D34D11" w:rsidRPr="00B61D86" w:rsidRDefault="001D4ADC" w:rsidP="004A1C7C">
      <w:pPr>
        <w:shd w:val="clear" w:color="auto" w:fill="FFFFFF"/>
        <w:tabs>
          <w:tab w:val="left" w:pos="698"/>
        </w:tabs>
        <w:spacing w:line="306" w:lineRule="exact"/>
        <w:jc w:val="both"/>
        <w:rPr>
          <w:rFonts w:eastAsia="Times New Roman"/>
          <w:color w:val="000000"/>
          <w:spacing w:val="-2"/>
          <w:sz w:val="24"/>
          <w:szCs w:val="24"/>
        </w:rPr>
      </w:pPr>
      <w:r w:rsidRPr="00B61D86">
        <w:rPr>
          <w:rFonts w:eastAsia="Times New Roman"/>
          <w:color w:val="000000"/>
          <w:spacing w:val="-2"/>
          <w:sz w:val="24"/>
          <w:szCs w:val="24"/>
        </w:rPr>
        <w:t xml:space="preserve">      </w:t>
      </w:r>
      <w:r w:rsidR="004A1C7C" w:rsidRPr="00B61D86">
        <w:rPr>
          <w:rFonts w:eastAsia="Times New Roman"/>
          <w:color w:val="000000"/>
          <w:spacing w:val="-2"/>
          <w:sz w:val="24"/>
          <w:szCs w:val="24"/>
        </w:rPr>
        <w:t xml:space="preserve">  </w:t>
      </w:r>
    </w:p>
    <w:p w:rsidR="00D34D11" w:rsidRPr="00B61D86" w:rsidRDefault="004A1C7C" w:rsidP="00D34D11">
      <w:pPr>
        <w:ind w:firstLine="540"/>
        <w:jc w:val="both"/>
        <w:rPr>
          <w:rFonts w:eastAsia="Times New Roman"/>
          <w:sz w:val="24"/>
          <w:szCs w:val="24"/>
        </w:rPr>
      </w:pPr>
      <w:r w:rsidRPr="00B61D86">
        <w:rPr>
          <w:rFonts w:eastAsia="Times New Roman"/>
          <w:color w:val="000000"/>
          <w:spacing w:val="-2"/>
          <w:sz w:val="24"/>
          <w:szCs w:val="24"/>
        </w:rPr>
        <w:t xml:space="preserve"> </w:t>
      </w:r>
      <w:r w:rsidR="00D34D11" w:rsidRPr="00B61D86">
        <w:rPr>
          <w:rFonts w:eastAsia="Times New Roman"/>
          <w:sz w:val="24"/>
          <w:szCs w:val="24"/>
        </w:rPr>
        <w:t xml:space="preserve">1. При определении географических границ использовались следующие методы: </w:t>
      </w:r>
    </w:p>
    <w:p w:rsidR="00D34D11" w:rsidRPr="00B61D86" w:rsidRDefault="00D34D11" w:rsidP="00D34D11">
      <w:pPr>
        <w:ind w:firstLine="540"/>
        <w:jc w:val="both"/>
        <w:rPr>
          <w:rFonts w:eastAsia="Times New Roman"/>
          <w:sz w:val="24"/>
          <w:szCs w:val="24"/>
        </w:rPr>
      </w:pPr>
      <w:r w:rsidRPr="00B61D86">
        <w:rPr>
          <w:rFonts w:eastAsia="Times New Roman"/>
          <w:sz w:val="24"/>
          <w:szCs w:val="24"/>
        </w:rPr>
        <w:t>1) метод, основанный на результатах наблюдений за товарными рынками и экономико-статистических расчетов;</w:t>
      </w:r>
    </w:p>
    <w:p w:rsidR="00D34D11" w:rsidRPr="00B61D86" w:rsidRDefault="00D34D11" w:rsidP="00D34D11">
      <w:pPr>
        <w:ind w:firstLine="540"/>
        <w:jc w:val="both"/>
        <w:rPr>
          <w:rFonts w:eastAsia="Times New Roman"/>
          <w:b/>
          <w:i/>
          <w:sz w:val="24"/>
          <w:szCs w:val="24"/>
        </w:rPr>
      </w:pPr>
      <w:r w:rsidRPr="00B61D86">
        <w:rPr>
          <w:rFonts w:eastAsia="Times New Roman"/>
          <w:sz w:val="24"/>
          <w:szCs w:val="24"/>
        </w:rPr>
        <w:t>2) метод, основанный на сведениях о товарных рынках, конкурентах и формировании ценовой политики, представляемых продавцами данного товара.</w:t>
      </w:r>
    </w:p>
    <w:p w:rsidR="00D34D11" w:rsidRPr="00B61D86" w:rsidRDefault="00D34D11" w:rsidP="00D34D11">
      <w:pPr>
        <w:ind w:firstLine="720"/>
        <w:jc w:val="both"/>
        <w:rPr>
          <w:rFonts w:eastAsia="Times New Roman"/>
          <w:sz w:val="24"/>
          <w:szCs w:val="24"/>
        </w:rPr>
      </w:pPr>
      <w:r w:rsidRPr="00B61D86">
        <w:rPr>
          <w:rFonts w:eastAsia="Times New Roman"/>
          <w:sz w:val="24"/>
          <w:szCs w:val="24"/>
        </w:rPr>
        <w:t xml:space="preserve">При определении географических границ розничного рынка нефтепродуктов в качестве предварительных границ приняты географические границы Чувашской Республики. </w:t>
      </w:r>
    </w:p>
    <w:p w:rsidR="00D34D11" w:rsidRPr="00B61D86" w:rsidRDefault="00D34D11" w:rsidP="00D34D11">
      <w:pPr>
        <w:ind w:firstLine="720"/>
        <w:jc w:val="both"/>
        <w:rPr>
          <w:rFonts w:eastAsia="Times New Roman"/>
          <w:sz w:val="24"/>
          <w:szCs w:val="24"/>
        </w:rPr>
      </w:pPr>
      <w:r w:rsidRPr="00B61D86">
        <w:rPr>
          <w:rFonts w:eastAsia="Times New Roman"/>
          <w:sz w:val="24"/>
          <w:szCs w:val="24"/>
        </w:rPr>
        <w:t>В соответствии с процедурой определения границ рынка и некоторых данных, представленных для анализа, можно сделать следующие выводы о географических границах локальных розничных рынков нефтепродуктов.</w:t>
      </w:r>
    </w:p>
    <w:p w:rsidR="00D34D11" w:rsidRPr="00B61D86" w:rsidRDefault="00D34D11" w:rsidP="00D34D11">
      <w:pPr>
        <w:ind w:firstLine="720"/>
        <w:jc w:val="both"/>
        <w:rPr>
          <w:rFonts w:eastAsia="Times New Roman"/>
          <w:sz w:val="24"/>
          <w:szCs w:val="24"/>
        </w:rPr>
      </w:pPr>
      <w:r w:rsidRPr="00B61D86">
        <w:rPr>
          <w:rFonts w:eastAsia="Times New Roman"/>
          <w:sz w:val="24"/>
          <w:szCs w:val="24"/>
        </w:rPr>
        <w:t xml:space="preserve">В соответствии с пунктом 4.1. Порядка географические границы товарного рынка определяют территорию, на которой приобретатели имеют экономическую возможность приобрести рассматриваемый товар (услугу) и не имеют такой  возможности за пределами этой территории. При выявлении </w:t>
      </w:r>
      <w:proofErr w:type="gramStart"/>
      <w:r w:rsidRPr="00B61D86">
        <w:rPr>
          <w:rFonts w:eastAsia="Times New Roman"/>
          <w:sz w:val="24"/>
          <w:szCs w:val="24"/>
        </w:rPr>
        <w:t>условий обращения товара, ограничивающих экономические возможности приобретения товара покупателями учитываются</w:t>
      </w:r>
      <w:proofErr w:type="gramEnd"/>
      <w:r w:rsidRPr="00B61D86">
        <w:rPr>
          <w:rFonts w:eastAsia="Times New Roman"/>
          <w:sz w:val="24"/>
          <w:szCs w:val="24"/>
        </w:rPr>
        <w:t xml:space="preserve"> требования к условиям транспортировки товара, организационно-транспортные схемы приобретения товара покупателями,  возможность перемещения покупателей к товару и т.д. </w:t>
      </w:r>
    </w:p>
    <w:p w:rsidR="00D34D11" w:rsidRPr="00B61D86" w:rsidRDefault="00D34D11" w:rsidP="00D34D11">
      <w:pPr>
        <w:widowControl/>
        <w:autoSpaceDE/>
        <w:autoSpaceDN/>
        <w:adjustRightInd/>
        <w:ind w:firstLine="709"/>
        <w:jc w:val="both"/>
        <w:rPr>
          <w:rFonts w:eastAsia="Times New Roman"/>
          <w:sz w:val="24"/>
          <w:szCs w:val="24"/>
        </w:rPr>
      </w:pPr>
      <w:r w:rsidRPr="00B61D86">
        <w:rPr>
          <w:rFonts w:eastAsia="Times New Roman"/>
          <w:sz w:val="24"/>
          <w:szCs w:val="24"/>
        </w:rPr>
        <w:t xml:space="preserve">Границы локальных рынков нефтепродуктов определяются с учетом экономико-географического положения и автотранспортной инфраструктуры, т.е. территория, в пределах которой пролегают маршруты регулярного движения частного автотранспорта и автотранспорта  предприятий и организаций. </w:t>
      </w:r>
    </w:p>
    <w:p w:rsidR="00D34D11" w:rsidRPr="00B61D86" w:rsidRDefault="00D34D11" w:rsidP="00D34D11">
      <w:pPr>
        <w:widowControl/>
        <w:autoSpaceDE/>
        <w:autoSpaceDN/>
        <w:adjustRightInd/>
        <w:ind w:firstLine="709"/>
        <w:jc w:val="both"/>
        <w:rPr>
          <w:rFonts w:eastAsia="Times New Roman"/>
          <w:sz w:val="24"/>
          <w:szCs w:val="24"/>
        </w:rPr>
      </w:pPr>
      <w:r w:rsidRPr="00B61D86">
        <w:rPr>
          <w:rFonts w:eastAsia="Times New Roman"/>
          <w:sz w:val="24"/>
          <w:szCs w:val="24"/>
        </w:rPr>
        <w:t>Чувашская Республика характеризуется разветвленной сетью автомобильных дорог и занимает уникальное транспортное географическое положение в европейской части России, которое определяется, в том числе прохождением автомобильных дорог федерального значения в направлениях:</w:t>
      </w:r>
    </w:p>
    <w:p w:rsidR="00D34D11" w:rsidRPr="00B61D86" w:rsidRDefault="00D34D11" w:rsidP="00D34D11">
      <w:pPr>
        <w:widowControl/>
        <w:autoSpaceDE/>
        <w:autoSpaceDN/>
        <w:adjustRightInd/>
        <w:ind w:firstLine="709"/>
        <w:jc w:val="both"/>
        <w:rPr>
          <w:rFonts w:eastAsia="Times New Roman"/>
          <w:sz w:val="24"/>
          <w:szCs w:val="24"/>
        </w:rPr>
      </w:pPr>
      <w:r w:rsidRPr="00B61D86">
        <w:rPr>
          <w:rFonts w:eastAsia="Times New Roman"/>
          <w:sz w:val="24"/>
          <w:szCs w:val="24"/>
        </w:rPr>
        <w:t xml:space="preserve"> - Нижний Новгород—Владимир—Москва, </w:t>
      </w:r>
    </w:p>
    <w:p w:rsidR="00D34D11" w:rsidRPr="00B61D86" w:rsidRDefault="00D34D11" w:rsidP="00D34D11">
      <w:pPr>
        <w:widowControl/>
        <w:autoSpaceDE/>
        <w:autoSpaceDN/>
        <w:adjustRightInd/>
        <w:ind w:firstLine="709"/>
        <w:jc w:val="both"/>
        <w:rPr>
          <w:rFonts w:eastAsia="Times New Roman"/>
          <w:sz w:val="24"/>
          <w:szCs w:val="24"/>
        </w:rPr>
      </w:pPr>
      <w:r w:rsidRPr="00B61D86">
        <w:rPr>
          <w:rFonts w:eastAsia="Times New Roman"/>
          <w:sz w:val="24"/>
          <w:szCs w:val="24"/>
        </w:rPr>
        <w:t xml:space="preserve">- Йошкар-Ола—Киров—Сыктывкар—Ухта, </w:t>
      </w:r>
    </w:p>
    <w:p w:rsidR="00D34D11" w:rsidRPr="00B61D86" w:rsidRDefault="00D34D11" w:rsidP="00D34D11">
      <w:pPr>
        <w:widowControl/>
        <w:autoSpaceDE/>
        <w:autoSpaceDN/>
        <w:adjustRightInd/>
        <w:ind w:firstLine="709"/>
        <w:jc w:val="both"/>
        <w:rPr>
          <w:rFonts w:eastAsia="Times New Roman"/>
          <w:sz w:val="24"/>
          <w:szCs w:val="24"/>
        </w:rPr>
      </w:pPr>
      <w:r w:rsidRPr="00B61D86">
        <w:rPr>
          <w:rFonts w:eastAsia="Times New Roman"/>
          <w:sz w:val="24"/>
          <w:szCs w:val="24"/>
        </w:rPr>
        <w:t xml:space="preserve">- Казань—Уфа—Челябинск—Оренбург, </w:t>
      </w:r>
    </w:p>
    <w:p w:rsidR="00D34D11" w:rsidRPr="00B61D86" w:rsidRDefault="00D34D11" w:rsidP="00D34D11">
      <w:pPr>
        <w:widowControl/>
        <w:autoSpaceDE/>
        <w:autoSpaceDN/>
        <w:adjustRightInd/>
        <w:ind w:firstLine="709"/>
        <w:jc w:val="both"/>
        <w:rPr>
          <w:rFonts w:eastAsia="Times New Roman"/>
          <w:sz w:val="24"/>
          <w:szCs w:val="24"/>
        </w:rPr>
      </w:pPr>
      <w:r w:rsidRPr="00B61D86">
        <w:rPr>
          <w:rFonts w:eastAsia="Times New Roman"/>
          <w:sz w:val="24"/>
          <w:szCs w:val="24"/>
        </w:rPr>
        <w:t xml:space="preserve">- Ульяновск—Сызрань—Самара.         </w:t>
      </w:r>
    </w:p>
    <w:p w:rsidR="00D34D11" w:rsidRPr="00B61D86" w:rsidRDefault="00D34D11" w:rsidP="00D34D11">
      <w:pPr>
        <w:widowControl/>
        <w:autoSpaceDE/>
        <w:autoSpaceDN/>
        <w:adjustRightInd/>
        <w:ind w:firstLine="709"/>
        <w:jc w:val="both"/>
        <w:rPr>
          <w:rFonts w:eastAsia="Times New Roman"/>
          <w:sz w:val="24"/>
          <w:szCs w:val="24"/>
        </w:rPr>
      </w:pPr>
      <w:r w:rsidRPr="00B61D86">
        <w:rPr>
          <w:rFonts w:eastAsia="Times New Roman"/>
          <w:sz w:val="24"/>
          <w:szCs w:val="24"/>
        </w:rPr>
        <w:t xml:space="preserve"> </w:t>
      </w:r>
      <w:r w:rsidRPr="00B61D86">
        <w:rPr>
          <w:rFonts w:eastAsia="Times New Roman"/>
          <w:color w:val="000000"/>
          <w:sz w:val="24"/>
          <w:szCs w:val="24"/>
          <w:shd w:val="clear" w:color="auto" w:fill="FFFFFF"/>
        </w:rPr>
        <w:t>По данным Министерства транспорта и дорожного хозяйства Чувашской Республики, протяженность автомобильных дорог общего пользования Чувашской Республики на 1 января 2013 года составляет 11597,721 км, в том числе 329 км дорог федерального значения, более 1539,6 км - регионального и межмуниципального, 9729 км – дороги местного значения.</w:t>
      </w:r>
    </w:p>
    <w:p w:rsidR="00D34D11" w:rsidRPr="00B61D86" w:rsidRDefault="00D34D11" w:rsidP="00D34D11">
      <w:pPr>
        <w:ind w:firstLine="720"/>
        <w:jc w:val="both"/>
        <w:rPr>
          <w:rFonts w:eastAsia="Times New Roman"/>
          <w:sz w:val="24"/>
          <w:szCs w:val="24"/>
        </w:rPr>
      </w:pPr>
      <w:r w:rsidRPr="00B61D86">
        <w:rPr>
          <w:rFonts w:eastAsia="Times New Roman"/>
          <w:sz w:val="24"/>
          <w:szCs w:val="24"/>
        </w:rPr>
        <w:lastRenderedPageBreak/>
        <w:t xml:space="preserve">Исходя из того, что места розничной реализации нефтепродуктов (АЗС) территориально фиксированы, основными ограничениями экономической возможности приобретения нефтепродуктов на АЗС являются организационно-транспортные схемы приобретения нефтепродуктов покупателями и транспортные расходы, связанные с поиском и приобретением  потребителем нефтепродуктов на АЗС. Главным фактором выбора потребителями места заправки автотранспортного средства является близость, удобство расположения автозаправочной станции, и как следствие, незначительные транспортные расходы. </w:t>
      </w:r>
    </w:p>
    <w:p w:rsidR="00D34D11" w:rsidRPr="00B61D86" w:rsidRDefault="00D34D11" w:rsidP="00D34D11">
      <w:pPr>
        <w:ind w:firstLine="720"/>
        <w:jc w:val="both"/>
        <w:rPr>
          <w:rFonts w:eastAsia="Times New Roman"/>
          <w:sz w:val="24"/>
          <w:szCs w:val="24"/>
        </w:rPr>
      </w:pPr>
      <w:r w:rsidRPr="00B61D86">
        <w:rPr>
          <w:rFonts w:eastAsia="Times New Roman"/>
          <w:sz w:val="24"/>
          <w:szCs w:val="24"/>
        </w:rPr>
        <w:t>Например, если издержки потребителя (расходы на топливо в стоимостном выражении) при приобретении нефтепродуктов на АЗС №1, расположенной вне предварительно определенных географических границ, составляют более 10% стоимости среднего объема разовой заправки того же вида нефтепродукта на АЗС №2, расположенный в пределах предварительно определенный географических границ  локального розничного рынка нефтепродуктов.</w:t>
      </w:r>
    </w:p>
    <w:p w:rsidR="00D34D11" w:rsidRPr="00B61D86" w:rsidRDefault="00D34D11" w:rsidP="00D34D11">
      <w:pPr>
        <w:ind w:firstLine="720"/>
        <w:jc w:val="both"/>
        <w:rPr>
          <w:rFonts w:eastAsia="Times New Roman"/>
          <w:color w:val="000000" w:themeColor="text1"/>
          <w:sz w:val="24"/>
          <w:szCs w:val="24"/>
          <w:shd w:val="clear" w:color="auto" w:fill="FFFFFF"/>
        </w:rPr>
      </w:pPr>
      <w:r w:rsidRPr="00B61D86">
        <w:rPr>
          <w:rFonts w:eastAsia="Times New Roman"/>
          <w:color w:val="000000" w:themeColor="text1"/>
          <w:sz w:val="24"/>
          <w:szCs w:val="24"/>
          <w:shd w:val="clear" w:color="auto" w:fill="FFFFFF"/>
        </w:rPr>
        <w:t>В Чувашской Республике насчитывается 21 административный </w:t>
      </w:r>
      <w:hyperlink r:id="rId8" w:tooltip="Район" w:history="1">
        <w:r w:rsidRPr="00B61D86">
          <w:rPr>
            <w:rFonts w:eastAsia="Times New Roman"/>
            <w:color w:val="000000" w:themeColor="text1"/>
            <w:sz w:val="24"/>
            <w:szCs w:val="24"/>
            <w:shd w:val="clear" w:color="auto" w:fill="FFFFFF"/>
          </w:rPr>
          <w:t>район</w:t>
        </w:r>
      </w:hyperlink>
      <w:r w:rsidRPr="00B61D86">
        <w:rPr>
          <w:rFonts w:eastAsia="Times New Roman"/>
          <w:color w:val="000000" w:themeColor="text1"/>
          <w:sz w:val="24"/>
          <w:szCs w:val="24"/>
          <w:shd w:val="clear" w:color="auto" w:fill="FFFFFF"/>
        </w:rPr>
        <w:t>, 9 </w:t>
      </w:r>
      <w:hyperlink r:id="rId9" w:tooltip="Город" w:history="1">
        <w:r w:rsidRPr="00B61D86">
          <w:rPr>
            <w:rFonts w:eastAsia="Times New Roman"/>
            <w:color w:val="000000" w:themeColor="text1"/>
            <w:sz w:val="24"/>
            <w:szCs w:val="24"/>
            <w:shd w:val="clear" w:color="auto" w:fill="FFFFFF"/>
          </w:rPr>
          <w:t>городов</w:t>
        </w:r>
      </w:hyperlink>
      <w:r w:rsidRPr="00B61D86">
        <w:rPr>
          <w:rFonts w:eastAsia="Times New Roman"/>
          <w:color w:val="000000" w:themeColor="text1"/>
          <w:sz w:val="24"/>
          <w:szCs w:val="24"/>
          <w:shd w:val="clear" w:color="auto" w:fill="FFFFFF"/>
        </w:rPr>
        <w:t>, 8 </w:t>
      </w:r>
      <w:hyperlink r:id="rId10" w:tooltip="Посёлок" w:history="1">
        <w:r w:rsidRPr="00B61D86">
          <w:rPr>
            <w:rFonts w:eastAsia="Times New Roman"/>
            <w:color w:val="000000" w:themeColor="text1"/>
            <w:sz w:val="24"/>
            <w:szCs w:val="24"/>
            <w:shd w:val="clear" w:color="auto" w:fill="FFFFFF"/>
          </w:rPr>
          <w:t>поселков</w:t>
        </w:r>
      </w:hyperlink>
      <w:r w:rsidRPr="00B61D86">
        <w:rPr>
          <w:rFonts w:eastAsia="Times New Roman"/>
          <w:color w:val="000000" w:themeColor="text1"/>
          <w:sz w:val="24"/>
          <w:szCs w:val="24"/>
          <w:shd w:val="clear" w:color="auto" w:fill="FFFFFF"/>
        </w:rPr>
        <w:t> городского типа, около 1700 </w:t>
      </w:r>
      <w:hyperlink r:id="rId11" w:tooltip="Сельский населенный пункт" w:history="1">
        <w:r w:rsidRPr="00B61D86">
          <w:rPr>
            <w:rFonts w:eastAsia="Times New Roman"/>
            <w:color w:val="000000" w:themeColor="text1"/>
            <w:sz w:val="24"/>
            <w:szCs w:val="24"/>
            <w:shd w:val="clear" w:color="auto" w:fill="FFFFFF"/>
          </w:rPr>
          <w:t>сельских населенных пунктов</w:t>
        </w:r>
      </w:hyperlink>
      <w:r w:rsidRPr="00B61D86">
        <w:rPr>
          <w:rFonts w:eastAsia="Times New Roman"/>
          <w:color w:val="000000" w:themeColor="text1"/>
          <w:sz w:val="24"/>
          <w:szCs w:val="24"/>
          <w:shd w:val="clear" w:color="auto" w:fill="FFFFFF"/>
        </w:rPr>
        <w:t>.</w:t>
      </w:r>
    </w:p>
    <w:p w:rsidR="00D34D11" w:rsidRPr="00B61D86" w:rsidRDefault="00D34D11" w:rsidP="00D34D11">
      <w:pPr>
        <w:tabs>
          <w:tab w:val="left" w:pos="7272"/>
        </w:tabs>
        <w:ind w:firstLine="720"/>
        <w:jc w:val="both"/>
        <w:rPr>
          <w:rFonts w:eastAsia="Times New Roman"/>
          <w:color w:val="000000" w:themeColor="text1"/>
          <w:sz w:val="24"/>
          <w:szCs w:val="24"/>
        </w:rPr>
      </w:pPr>
      <w:r w:rsidRPr="00B61D86">
        <w:rPr>
          <w:rFonts w:eastAsia="Times New Roman"/>
          <w:color w:val="000000" w:themeColor="text1"/>
          <w:sz w:val="24"/>
          <w:szCs w:val="24"/>
        </w:rPr>
        <w:tab/>
        <w:t xml:space="preserve">        </w:t>
      </w:r>
      <w:r w:rsidR="003F5048" w:rsidRPr="00B61D86">
        <w:rPr>
          <w:rFonts w:eastAsia="Times New Roman"/>
          <w:color w:val="000000" w:themeColor="text1"/>
          <w:sz w:val="24"/>
          <w:szCs w:val="24"/>
        </w:rPr>
        <w:t xml:space="preserve">    </w:t>
      </w:r>
      <w:r w:rsidRPr="00B61D86">
        <w:rPr>
          <w:rFonts w:eastAsia="Times New Roman"/>
          <w:color w:val="000000" w:themeColor="text1"/>
          <w:sz w:val="24"/>
          <w:szCs w:val="24"/>
        </w:rPr>
        <w:t xml:space="preserve">  Таблица </w:t>
      </w:r>
      <w:r w:rsidR="003F5048" w:rsidRPr="00B61D86">
        <w:rPr>
          <w:rFonts w:eastAsia="Times New Roman"/>
          <w:color w:val="000000" w:themeColor="text1"/>
          <w:sz w:val="24"/>
          <w:szCs w:val="24"/>
        </w:rPr>
        <w:t>2</w:t>
      </w:r>
    </w:p>
    <w:tbl>
      <w:tblPr>
        <w:tblW w:w="9229" w:type="dxa"/>
        <w:tblInd w:w="93" w:type="dxa"/>
        <w:tblLayout w:type="fixed"/>
        <w:tblLook w:val="04A0" w:firstRow="1" w:lastRow="0" w:firstColumn="1" w:lastColumn="0" w:noHBand="0" w:noVBand="1"/>
      </w:tblPr>
      <w:tblGrid>
        <w:gridCol w:w="654"/>
        <w:gridCol w:w="2055"/>
        <w:gridCol w:w="1701"/>
        <w:gridCol w:w="1417"/>
        <w:gridCol w:w="1559"/>
        <w:gridCol w:w="1843"/>
      </w:tblGrid>
      <w:tr w:rsidR="00D34D11" w:rsidRPr="00B61D86" w:rsidTr="003F5048">
        <w:trPr>
          <w:trHeight w:val="792"/>
        </w:trPr>
        <w:tc>
          <w:tcPr>
            <w:tcW w:w="654" w:type="dxa"/>
            <w:tcBorders>
              <w:top w:val="single" w:sz="4" w:space="0" w:color="auto"/>
              <w:left w:val="single" w:sz="4" w:space="0" w:color="auto"/>
              <w:bottom w:val="single" w:sz="4" w:space="0" w:color="auto"/>
              <w:right w:val="single" w:sz="4" w:space="0" w:color="auto"/>
            </w:tcBorders>
            <w:vAlign w:val="bottom"/>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w:t>
            </w:r>
          </w:p>
        </w:tc>
        <w:tc>
          <w:tcPr>
            <w:tcW w:w="2055" w:type="dxa"/>
            <w:tcBorders>
              <w:top w:val="single" w:sz="4" w:space="0" w:color="auto"/>
              <w:left w:val="nil"/>
              <w:bottom w:val="single" w:sz="4" w:space="0" w:color="auto"/>
              <w:right w:val="single" w:sz="4" w:space="0" w:color="auto"/>
            </w:tcBorders>
            <w:vAlign w:val="bottom"/>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Район</w:t>
            </w:r>
          </w:p>
        </w:tc>
        <w:tc>
          <w:tcPr>
            <w:tcW w:w="1701" w:type="dxa"/>
            <w:tcBorders>
              <w:top w:val="single" w:sz="4" w:space="0" w:color="auto"/>
              <w:left w:val="nil"/>
              <w:bottom w:val="single" w:sz="4" w:space="0" w:color="auto"/>
              <w:right w:val="single" w:sz="4" w:space="0" w:color="auto"/>
            </w:tcBorders>
            <w:vAlign w:val="bottom"/>
            <w:hideMark/>
          </w:tcPr>
          <w:p w:rsidR="00D34D11" w:rsidRPr="00B61D86" w:rsidRDefault="003F5048" w:rsidP="00D34D11">
            <w:pPr>
              <w:widowControl/>
              <w:autoSpaceDE/>
              <w:autoSpaceDN/>
              <w:adjustRightInd/>
              <w:rPr>
                <w:rFonts w:eastAsia="Times New Roman"/>
                <w:color w:val="000000"/>
                <w:sz w:val="24"/>
                <w:szCs w:val="24"/>
              </w:rPr>
            </w:pPr>
            <w:r w:rsidRPr="00B61D86">
              <w:rPr>
                <w:rFonts w:eastAsia="Times New Roman"/>
                <w:color w:val="000000"/>
                <w:sz w:val="24"/>
                <w:szCs w:val="24"/>
              </w:rPr>
              <w:t>Районный</w:t>
            </w:r>
            <w:r w:rsidR="00D34D11" w:rsidRPr="00B61D86">
              <w:rPr>
                <w:rFonts w:eastAsia="Times New Roman"/>
                <w:color w:val="000000"/>
                <w:sz w:val="24"/>
                <w:szCs w:val="24"/>
              </w:rPr>
              <w:t xml:space="preserve"> центр</w:t>
            </w:r>
          </w:p>
        </w:tc>
        <w:tc>
          <w:tcPr>
            <w:tcW w:w="1417" w:type="dxa"/>
            <w:tcBorders>
              <w:top w:val="single" w:sz="4" w:space="0" w:color="auto"/>
              <w:left w:val="nil"/>
              <w:bottom w:val="single" w:sz="4" w:space="0" w:color="auto"/>
              <w:right w:val="single" w:sz="4" w:space="0" w:color="auto"/>
            </w:tcBorders>
            <w:vAlign w:val="bottom"/>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Численность</w:t>
            </w:r>
          </w:p>
        </w:tc>
        <w:tc>
          <w:tcPr>
            <w:tcW w:w="1559" w:type="dxa"/>
            <w:tcBorders>
              <w:top w:val="single" w:sz="4" w:space="0" w:color="auto"/>
              <w:left w:val="nil"/>
              <w:bottom w:val="single" w:sz="4" w:space="0" w:color="auto"/>
              <w:right w:val="single" w:sz="4" w:space="0" w:color="auto"/>
            </w:tcBorders>
            <w:vAlign w:val="bottom"/>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Площадь</w:t>
            </w:r>
          </w:p>
        </w:tc>
        <w:tc>
          <w:tcPr>
            <w:tcW w:w="1843" w:type="dxa"/>
            <w:tcBorders>
              <w:top w:val="single" w:sz="4" w:space="0" w:color="auto"/>
              <w:left w:val="nil"/>
              <w:bottom w:val="single" w:sz="4" w:space="0" w:color="auto"/>
              <w:right w:val="single" w:sz="4" w:space="0" w:color="auto"/>
            </w:tcBorders>
            <w:vAlign w:val="bottom"/>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 xml:space="preserve">Кол-во </w:t>
            </w:r>
            <w:r w:rsidR="003F5048" w:rsidRPr="00B61D86">
              <w:rPr>
                <w:rFonts w:eastAsia="Times New Roman"/>
                <w:color w:val="000000"/>
                <w:sz w:val="24"/>
                <w:szCs w:val="24"/>
              </w:rPr>
              <w:t>населенных</w:t>
            </w:r>
            <w:r w:rsidRPr="00B61D86">
              <w:rPr>
                <w:rFonts w:eastAsia="Times New Roman"/>
                <w:color w:val="000000"/>
                <w:sz w:val="24"/>
                <w:szCs w:val="24"/>
              </w:rPr>
              <w:t xml:space="preserve"> пунктов</w:t>
            </w:r>
          </w:p>
        </w:tc>
      </w:tr>
      <w:tr w:rsidR="00D34D11" w:rsidRPr="00B61D86" w:rsidTr="003F5048">
        <w:trPr>
          <w:trHeight w:val="408"/>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12" w:history="1">
              <w:proofErr w:type="spellStart"/>
              <w:r w:rsidR="00D34D11" w:rsidRPr="00B61D86">
                <w:rPr>
                  <w:rFonts w:eastAsia="Times New Roman"/>
                  <w:color w:val="000000"/>
                  <w:sz w:val="24"/>
                  <w:szCs w:val="24"/>
                </w:rPr>
                <w:t>Алатырский</w:t>
              </w:r>
              <w:proofErr w:type="spellEnd"/>
              <w:r w:rsidR="00D34D11" w:rsidRPr="00B61D86">
                <w:rPr>
                  <w:rFonts w:eastAsia="Times New Roman"/>
                  <w:color w:val="000000"/>
                  <w:sz w:val="24"/>
                  <w:szCs w:val="24"/>
                </w:rPr>
                <w:t xml:space="preserve">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г. Алатырь</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17242</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1940</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48</w:t>
            </w:r>
          </w:p>
        </w:tc>
      </w:tr>
      <w:tr w:rsidR="00D34D11" w:rsidRPr="00B61D86" w:rsidTr="003F5048">
        <w:trPr>
          <w:trHeight w:val="400"/>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2</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13" w:history="1">
              <w:proofErr w:type="spellStart"/>
              <w:r w:rsidR="00D34D11" w:rsidRPr="00B61D86">
                <w:rPr>
                  <w:rFonts w:eastAsia="Times New Roman"/>
                  <w:color w:val="000000"/>
                  <w:sz w:val="24"/>
                  <w:szCs w:val="24"/>
                </w:rPr>
                <w:t>Аликовский</w:t>
              </w:r>
              <w:proofErr w:type="spellEnd"/>
              <w:r w:rsidR="00D34D11" w:rsidRPr="00B61D86">
                <w:rPr>
                  <w:rFonts w:eastAsia="Times New Roman"/>
                  <w:color w:val="000000"/>
                  <w:sz w:val="24"/>
                  <w:szCs w:val="24"/>
                </w:rPr>
                <w:t xml:space="preserve">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с. Аликово</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18284</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554,1</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117</w:t>
            </w:r>
          </w:p>
        </w:tc>
      </w:tr>
      <w:tr w:rsidR="00D34D11" w:rsidRPr="00B61D86" w:rsidTr="003F5048">
        <w:trPr>
          <w:trHeight w:val="528"/>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3</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14" w:history="1">
              <w:proofErr w:type="spellStart"/>
              <w:r w:rsidR="00D34D11" w:rsidRPr="00B61D86">
                <w:rPr>
                  <w:rFonts w:eastAsia="Times New Roman"/>
                  <w:color w:val="000000"/>
                  <w:sz w:val="24"/>
                  <w:szCs w:val="24"/>
                </w:rPr>
                <w:t>Батыревский</w:t>
              </w:r>
              <w:proofErr w:type="spellEnd"/>
              <w:r w:rsidR="00D34D11" w:rsidRPr="00B61D86">
                <w:rPr>
                  <w:rFonts w:eastAsia="Times New Roman"/>
                  <w:color w:val="000000"/>
                  <w:sz w:val="24"/>
                  <w:szCs w:val="24"/>
                </w:rPr>
                <w:t xml:space="preserve">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с. Батырево</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38618</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944</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56</w:t>
            </w:r>
          </w:p>
        </w:tc>
      </w:tr>
      <w:tr w:rsidR="00D34D11" w:rsidRPr="00B61D86" w:rsidTr="003F5048">
        <w:trPr>
          <w:trHeight w:val="455"/>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4</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15" w:history="1">
              <w:proofErr w:type="spellStart"/>
              <w:r w:rsidR="00D34D11" w:rsidRPr="00B61D86">
                <w:rPr>
                  <w:rFonts w:eastAsia="Times New Roman"/>
                  <w:color w:val="000000"/>
                  <w:sz w:val="24"/>
                  <w:szCs w:val="24"/>
                </w:rPr>
                <w:t>Вурнарский</w:t>
              </w:r>
              <w:proofErr w:type="spellEnd"/>
              <w:r w:rsidR="00D34D11" w:rsidRPr="00B61D86">
                <w:rPr>
                  <w:rFonts w:eastAsia="Times New Roman"/>
                  <w:color w:val="000000"/>
                  <w:sz w:val="24"/>
                  <w:szCs w:val="24"/>
                </w:rPr>
                <w:t xml:space="preserve">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п. Вурнары</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35848</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1012,6</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102</w:t>
            </w:r>
          </w:p>
        </w:tc>
      </w:tr>
      <w:tr w:rsidR="00D34D11" w:rsidRPr="00B61D86" w:rsidTr="003F5048">
        <w:trPr>
          <w:trHeight w:val="405"/>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5</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16" w:history="1">
              <w:proofErr w:type="spellStart"/>
              <w:r w:rsidR="00D34D11" w:rsidRPr="00B61D86">
                <w:rPr>
                  <w:rFonts w:eastAsia="Times New Roman"/>
                  <w:color w:val="000000"/>
                  <w:sz w:val="24"/>
                  <w:szCs w:val="24"/>
                </w:rPr>
                <w:t>Ибресинский</w:t>
              </w:r>
              <w:proofErr w:type="spellEnd"/>
              <w:r w:rsidR="00D34D11" w:rsidRPr="00B61D86">
                <w:rPr>
                  <w:rFonts w:eastAsia="Times New Roman"/>
                  <w:color w:val="000000"/>
                  <w:sz w:val="24"/>
                  <w:szCs w:val="24"/>
                </w:rPr>
                <w:t xml:space="preserve">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 xml:space="preserve">пос. </w:t>
            </w:r>
            <w:proofErr w:type="spellStart"/>
            <w:r w:rsidRPr="00B61D86">
              <w:rPr>
                <w:rFonts w:eastAsia="Times New Roman"/>
                <w:color w:val="000000"/>
                <w:sz w:val="24"/>
                <w:szCs w:val="24"/>
              </w:rPr>
              <w:t>Ибреси</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26196</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1201,2</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58</w:t>
            </w:r>
          </w:p>
        </w:tc>
      </w:tr>
      <w:tr w:rsidR="00D34D11" w:rsidRPr="00B61D86" w:rsidTr="003F5048">
        <w:trPr>
          <w:trHeight w:val="284"/>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6</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17" w:history="1">
              <w:proofErr w:type="spellStart"/>
              <w:r w:rsidR="00D34D11" w:rsidRPr="00B61D86">
                <w:rPr>
                  <w:rFonts w:eastAsia="Times New Roman"/>
                  <w:color w:val="000000"/>
                  <w:sz w:val="24"/>
                  <w:szCs w:val="24"/>
                </w:rPr>
                <w:t>Канашский</w:t>
              </w:r>
              <w:proofErr w:type="spellEnd"/>
              <w:r w:rsidR="00D34D11" w:rsidRPr="00B61D86">
                <w:rPr>
                  <w:rFonts w:eastAsia="Times New Roman"/>
                  <w:color w:val="000000"/>
                  <w:sz w:val="24"/>
                  <w:szCs w:val="24"/>
                </w:rPr>
                <w:t xml:space="preserve">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г. Канаш</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39729</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981,4</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109</w:t>
            </w:r>
          </w:p>
        </w:tc>
      </w:tr>
      <w:tr w:rsidR="00D34D11" w:rsidRPr="00B61D86" w:rsidTr="003F5048">
        <w:trPr>
          <w:trHeight w:val="273"/>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7</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18" w:history="1">
              <w:r w:rsidR="00D34D11" w:rsidRPr="00B61D86">
                <w:rPr>
                  <w:rFonts w:eastAsia="Times New Roman"/>
                  <w:color w:val="000000"/>
                  <w:sz w:val="24"/>
                  <w:szCs w:val="24"/>
                </w:rPr>
                <w:t>Козловский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 xml:space="preserve">г. </w:t>
            </w:r>
            <w:proofErr w:type="spellStart"/>
            <w:r w:rsidRPr="00B61D86">
              <w:rPr>
                <w:rFonts w:eastAsia="Times New Roman"/>
                <w:color w:val="000000"/>
                <w:sz w:val="24"/>
                <w:szCs w:val="24"/>
              </w:rPr>
              <w:t>Козловка</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23331</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516,8</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68</w:t>
            </w:r>
          </w:p>
        </w:tc>
      </w:tr>
      <w:tr w:rsidR="00D34D11" w:rsidRPr="00B61D86" w:rsidTr="003F5048">
        <w:trPr>
          <w:trHeight w:val="528"/>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8</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19" w:history="1">
              <w:r w:rsidR="00D34D11" w:rsidRPr="00B61D86">
                <w:rPr>
                  <w:rFonts w:eastAsia="Times New Roman"/>
                  <w:color w:val="000000"/>
                  <w:sz w:val="24"/>
                  <w:szCs w:val="24"/>
                </w:rPr>
                <w:t>Комсомольский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с. Комсомольское</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27251</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630,3</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54</w:t>
            </w:r>
          </w:p>
        </w:tc>
      </w:tr>
      <w:tr w:rsidR="00D34D11" w:rsidRPr="00B61D86" w:rsidTr="003F5048">
        <w:trPr>
          <w:trHeight w:val="792"/>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9</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20" w:history="1">
              <w:r w:rsidR="00D34D11" w:rsidRPr="00B61D86">
                <w:rPr>
                  <w:rFonts w:eastAsia="Times New Roman"/>
                  <w:color w:val="000000"/>
                  <w:sz w:val="24"/>
                  <w:szCs w:val="24"/>
                </w:rPr>
                <w:t>Красноармейский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с. Красноармейское</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16110</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456,3</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89</w:t>
            </w:r>
          </w:p>
        </w:tc>
      </w:tr>
      <w:tr w:rsidR="00D34D11" w:rsidRPr="00B61D86" w:rsidTr="003F5048">
        <w:trPr>
          <w:trHeight w:val="528"/>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10</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21" w:history="1">
              <w:proofErr w:type="spellStart"/>
              <w:r w:rsidR="00D34D11" w:rsidRPr="00B61D86">
                <w:rPr>
                  <w:rFonts w:eastAsia="Times New Roman"/>
                  <w:color w:val="000000"/>
                  <w:sz w:val="24"/>
                  <w:szCs w:val="24"/>
                </w:rPr>
                <w:t>Красночетайский</w:t>
              </w:r>
              <w:proofErr w:type="spellEnd"/>
              <w:r w:rsidR="00D34D11" w:rsidRPr="00B61D86">
                <w:rPr>
                  <w:rFonts w:eastAsia="Times New Roman"/>
                  <w:color w:val="000000"/>
                  <w:sz w:val="24"/>
                  <w:szCs w:val="24"/>
                </w:rPr>
                <w:t xml:space="preserve">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proofErr w:type="gramStart"/>
            <w:r w:rsidRPr="00B61D86">
              <w:rPr>
                <w:rFonts w:eastAsia="Times New Roman"/>
                <w:color w:val="000000"/>
                <w:sz w:val="24"/>
                <w:szCs w:val="24"/>
              </w:rPr>
              <w:t>с</w:t>
            </w:r>
            <w:proofErr w:type="gramEnd"/>
            <w:r w:rsidRPr="00B61D86">
              <w:rPr>
                <w:rFonts w:eastAsia="Times New Roman"/>
                <w:color w:val="000000"/>
                <w:sz w:val="24"/>
                <w:szCs w:val="24"/>
              </w:rPr>
              <w:t xml:space="preserve">. Красные </w:t>
            </w:r>
            <w:proofErr w:type="spellStart"/>
            <w:r w:rsidRPr="00B61D86">
              <w:rPr>
                <w:rFonts w:eastAsia="Times New Roman"/>
                <w:color w:val="000000"/>
                <w:sz w:val="24"/>
                <w:szCs w:val="24"/>
              </w:rPr>
              <w:t>Четаи</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19788</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691,6</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70</w:t>
            </w:r>
          </w:p>
        </w:tc>
      </w:tr>
      <w:tr w:rsidR="00D34D11" w:rsidRPr="00B61D86" w:rsidTr="003F5048">
        <w:trPr>
          <w:trHeight w:val="517"/>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11</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22" w:history="1">
              <w:r w:rsidR="00D34D11" w:rsidRPr="00B61D86">
                <w:rPr>
                  <w:rFonts w:eastAsia="Times New Roman"/>
                  <w:color w:val="000000"/>
                  <w:sz w:val="24"/>
                  <w:szCs w:val="24"/>
                </w:rPr>
                <w:t>Мариинско-Посадский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г. Мариинский Посад</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26006</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686,1</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79</w:t>
            </w:r>
          </w:p>
        </w:tc>
      </w:tr>
      <w:tr w:rsidR="00D34D11" w:rsidRPr="00B61D86" w:rsidTr="003F5048">
        <w:trPr>
          <w:trHeight w:val="528"/>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12</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23" w:history="1">
              <w:proofErr w:type="spellStart"/>
              <w:r w:rsidR="00D34D11" w:rsidRPr="00B61D86">
                <w:rPr>
                  <w:rFonts w:eastAsia="Times New Roman"/>
                  <w:color w:val="000000"/>
                  <w:sz w:val="24"/>
                  <w:szCs w:val="24"/>
                </w:rPr>
                <w:t>Моргаушский</w:t>
              </w:r>
              <w:proofErr w:type="spellEnd"/>
              <w:r w:rsidR="00D34D11" w:rsidRPr="00B61D86">
                <w:rPr>
                  <w:rFonts w:eastAsia="Times New Roman"/>
                  <w:color w:val="000000"/>
                  <w:sz w:val="24"/>
                  <w:szCs w:val="24"/>
                </w:rPr>
                <w:t xml:space="preserve">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с. Моргауши</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36339</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845,3</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177</w:t>
            </w:r>
          </w:p>
        </w:tc>
      </w:tr>
      <w:tr w:rsidR="00D34D11" w:rsidRPr="00B61D86" w:rsidTr="003F5048">
        <w:trPr>
          <w:trHeight w:val="264"/>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13</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24" w:history="1">
              <w:proofErr w:type="spellStart"/>
              <w:r w:rsidR="00D34D11" w:rsidRPr="00B61D86">
                <w:rPr>
                  <w:rFonts w:eastAsia="Times New Roman"/>
                  <w:color w:val="000000"/>
                  <w:sz w:val="24"/>
                  <w:szCs w:val="24"/>
                </w:rPr>
                <w:t>Порецкий</w:t>
              </w:r>
              <w:proofErr w:type="spellEnd"/>
              <w:r w:rsidR="00D34D11" w:rsidRPr="00B61D86">
                <w:rPr>
                  <w:rFonts w:eastAsia="Times New Roman"/>
                  <w:color w:val="000000"/>
                  <w:sz w:val="24"/>
                  <w:szCs w:val="24"/>
                </w:rPr>
                <w:t xml:space="preserve">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с. Порецкое</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13900</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1116,9</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40</w:t>
            </w:r>
          </w:p>
        </w:tc>
      </w:tr>
      <w:tr w:rsidR="00D34D11" w:rsidRPr="00B61D86" w:rsidTr="003F5048">
        <w:trPr>
          <w:trHeight w:val="528"/>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14</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25" w:history="1">
              <w:proofErr w:type="spellStart"/>
              <w:r w:rsidR="00D34D11" w:rsidRPr="00B61D86">
                <w:rPr>
                  <w:rFonts w:eastAsia="Times New Roman"/>
                  <w:color w:val="000000"/>
                  <w:sz w:val="24"/>
                  <w:szCs w:val="24"/>
                </w:rPr>
                <w:t>Урмарский</w:t>
              </w:r>
              <w:proofErr w:type="spellEnd"/>
              <w:r w:rsidR="00D34D11" w:rsidRPr="00B61D86">
                <w:rPr>
                  <w:rFonts w:eastAsia="Times New Roman"/>
                  <w:color w:val="000000"/>
                  <w:sz w:val="24"/>
                  <w:szCs w:val="24"/>
                </w:rPr>
                <w:t xml:space="preserve">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с. Урмары</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27058</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598,3</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53</w:t>
            </w:r>
          </w:p>
        </w:tc>
      </w:tr>
      <w:tr w:rsidR="00D34D11" w:rsidRPr="00B61D86" w:rsidTr="003F5048">
        <w:trPr>
          <w:trHeight w:val="528"/>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15</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26" w:history="1">
              <w:proofErr w:type="spellStart"/>
              <w:r w:rsidR="00D34D11" w:rsidRPr="00B61D86">
                <w:rPr>
                  <w:rFonts w:eastAsia="Times New Roman"/>
                  <w:color w:val="000000"/>
                  <w:sz w:val="24"/>
                  <w:szCs w:val="24"/>
                </w:rPr>
                <w:t>Цивильский</w:t>
              </w:r>
              <w:proofErr w:type="spellEnd"/>
              <w:r w:rsidR="00D34D11" w:rsidRPr="00B61D86">
                <w:rPr>
                  <w:rFonts w:eastAsia="Times New Roman"/>
                  <w:color w:val="000000"/>
                  <w:sz w:val="24"/>
                  <w:szCs w:val="24"/>
                </w:rPr>
                <w:t xml:space="preserve">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г. Цивильск</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38004</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790,8</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139</w:t>
            </w:r>
          </w:p>
        </w:tc>
      </w:tr>
      <w:tr w:rsidR="00D34D11" w:rsidRPr="00B61D86" w:rsidTr="003F5048">
        <w:trPr>
          <w:trHeight w:val="367"/>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16</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27" w:history="1">
              <w:r w:rsidR="00D34D11" w:rsidRPr="00B61D86">
                <w:rPr>
                  <w:rFonts w:eastAsia="Times New Roman"/>
                  <w:color w:val="000000"/>
                  <w:sz w:val="24"/>
                  <w:szCs w:val="24"/>
                </w:rPr>
                <w:t>Чебоксарский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п. Кугеси</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59431</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1331,7</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182</w:t>
            </w:r>
          </w:p>
        </w:tc>
      </w:tr>
      <w:tr w:rsidR="00D34D11" w:rsidRPr="00B61D86" w:rsidTr="003F5048">
        <w:trPr>
          <w:trHeight w:val="403"/>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lastRenderedPageBreak/>
              <w:t>17</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28" w:history="1">
              <w:proofErr w:type="spellStart"/>
              <w:r w:rsidR="00D34D11" w:rsidRPr="00B61D86">
                <w:rPr>
                  <w:rFonts w:eastAsia="Times New Roman"/>
                  <w:color w:val="000000"/>
                  <w:sz w:val="24"/>
                  <w:szCs w:val="24"/>
                </w:rPr>
                <w:t>Шемуршинский</w:t>
              </w:r>
              <w:proofErr w:type="spellEnd"/>
              <w:r w:rsidR="00D34D11" w:rsidRPr="00B61D86">
                <w:rPr>
                  <w:rFonts w:eastAsia="Times New Roman"/>
                  <w:color w:val="000000"/>
                  <w:sz w:val="24"/>
                  <w:szCs w:val="24"/>
                </w:rPr>
                <w:t xml:space="preserve">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proofErr w:type="gramStart"/>
            <w:r w:rsidRPr="00B61D86">
              <w:rPr>
                <w:rFonts w:eastAsia="Times New Roman"/>
                <w:color w:val="000000"/>
                <w:sz w:val="24"/>
                <w:szCs w:val="24"/>
              </w:rPr>
              <w:t>с</w:t>
            </w:r>
            <w:proofErr w:type="gramEnd"/>
            <w:r w:rsidRPr="00B61D86">
              <w:rPr>
                <w:rFonts w:eastAsia="Times New Roman"/>
                <w:color w:val="000000"/>
                <w:sz w:val="24"/>
                <w:szCs w:val="24"/>
              </w:rPr>
              <w:t>. Шемурша</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14356</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799,1</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33</w:t>
            </w:r>
          </w:p>
        </w:tc>
      </w:tr>
      <w:tr w:rsidR="00D34D11" w:rsidRPr="00B61D86" w:rsidTr="003F5048">
        <w:trPr>
          <w:trHeight w:val="283"/>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18</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29" w:history="1">
              <w:r w:rsidR="00D34D11" w:rsidRPr="00B61D86">
                <w:rPr>
                  <w:rFonts w:eastAsia="Times New Roman"/>
                  <w:color w:val="000000"/>
                  <w:sz w:val="24"/>
                  <w:szCs w:val="24"/>
                </w:rPr>
                <w:t>Шумерлинский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г. Шумерля</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12321</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1 047,60</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58</w:t>
            </w:r>
          </w:p>
        </w:tc>
      </w:tr>
      <w:tr w:rsidR="00D34D11" w:rsidRPr="00B61D86" w:rsidTr="003F5048">
        <w:trPr>
          <w:trHeight w:val="330"/>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19</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30" w:history="1">
              <w:proofErr w:type="spellStart"/>
              <w:r w:rsidR="00D34D11" w:rsidRPr="00B61D86">
                <w:rPr>
                  <w:rFonts w:eastAsia="Times New Roman"/>
                  <w:color w:val="000000"/>
                  <w:sz w:val="24"/>
                  <w:szCs w:val="24"/>
                </w:rPr>
                <w:t>Ядринский</w:t>
              </w:r>
              <w:proofErr w:type="spellEnd"/>
              <w:r w:rsidR="00D34D11" w:rsidRPr="00B61D86">
                <w:rPr>
                  <w:rFonts w:eastAsia="Times New Roman"/>
                  <w:color w:val="000000"/>
                  <w:sz w:val="24"/>
                  <w:szCs w:val="24"/>
                </w:rPr>
                <w:t xml:space="preserve">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г. Ядрин</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30488</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897,5</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126</w:t>
            </w:r>
          </w:p>
        </w:tc>
      </w:tr>
      <w:tr w:rsidR="00D34D11" w:rsidRPr="00B61D86" w:rsidTr="003F5048">
        <w:trPr>
          <w:trHeight w:val="352"/>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20</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31" w:history="1">
              <w:proofErr w:type="spellStart"/>
              <w:r w:rsidR="00D34D11" w:rsidRPr="00B61D86">
                <w:rPr>
                  <w:rFonts w:eastAsia="Times New Roman"/>
                  <w:color w:val="000000"/>
                  <w:sz w:val="24"/>
                  <w:szCs w:val="24"/>
                </w:rPr>
                <w:t>Яльчикский</w:t>
              </w:r>
              <w:proofErr w:type="spellEnd"/>
              <w:r w:rsidR="00D34D11" w:rsidRPr="00B61D86">
                <w:rPr>
                  <w:rFonts w:eastAsia="Times New Roman"/>
                  <w:color w:val="000000"/>
                  <w:sz w:val="24"/>
                  <w:szCs w:val="24"/>
                </w:rPr>
                <w:t xml:space="preserve">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с. Яльчики</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22348</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567,2</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53</w:t>
            </w:r>
          </w:p>
        </w:tc>
      </w:tr>
      <w:tr w:rsidR="00D34D11" w:rsidRPr="00B61D86" w:rsidTr="003F5048">
        <w:trPr>
          <w:trHeight w:val="246"/>
        </w:trPr>
        <w:tc>
          <w:tcPr>
            <w:tcW w:w="654" w:type="dxa"/>
            <w:tcBorders>
              <w:top w:val="nil"/>
              <w:left w:val="single" w:sz="4" w:space="0" w:color="auto"/>
              <w:bottom w:val="single" w:sz="4" w:space="0" w:color="auto"/>
              <w:right w:val="single" w:sz="4" w:space="0" w:color="auto"/>
            </w:tcBorders>
            <w:noWrap/>
            <w:vAlign w:val="bottom"/>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21</w:t>
            </w:r>
          </w:p>
        </w:tc>
        <w:tc>
          <w:tcPr>
            <w:tcW w:w="2055" w:type="dxa"/>
            <w:tcBorders>
              <w:top w:val="nil"/>
              <w:left w:val="nil"/>
              <w:bottom w:val="single" w:sz="4" w:space="0" w:color="auto"/>
              <w:right w:val="single" w:sz="4" w:space="0" w:color="auto"/>
            </w:tcBorders>
            <w:shd w:val="clear" w:color="000000" w:fill="FFFFFF"/>
            <w:vAlign w:val="center"/>
            <w:hideMark/>
          </w:tcPr>
          <w:p w:rsidR="00D34D11" w:rsidRPr="00B61D86" w:rsidRDefault="007B6610" w:rsidP="00D34D11">
            <w:pPr>
              <w:widowControl/>
              <w:autoSpaceDE/>
              <w:autoSpaceDN/>
              <w:adjustRightInd/>
              <w:rPr>
                <w:rFonts w:eastAsia="Times New Roman"/>
                <w:color w:val="000000"/>
                <w:sz w:val="24"/>
                <w:szCs w:val="24"/>
              </w:rPr>
            </w:pPr>
            <w:hyperlink r:id="rId32" w:history="1">
              <w:proofErr w:type="spellStart"/>
              <w:r w:rsidR="00D34D11" w:rsidRPr="00B61D86">
                <w:rPr>
                  <w:rFonts w:eastAsia="Times New Roman"/>
                  <w:color w:val="000000"/>
                  <w:sz w:val="24"/>
                  <w:szCs w:val="24"/>
                </w:rPr>
                <w:t>Янтиковский</w:t>
              </w:r>
              <w:proofErr w:type="spellEnd"/>
              <w:r w:rsidR="00D34D11" w:rsidRPr="00B61D86">
                <w:rPr>
                  <w:rFonts w:eastAsia="Times New Roman"/>
                  <w:color w:val="000000"/>
                  <w:sz w:val="24"/>
                  <w:szCs w:val="24"/>
                </w:rPr>
                <w:t xml:space="preserve"> район</w:t>
              </w:r>
            </w:hyperlink>
          </w:p>
        </w:tc>
        <w:tc>
          <w:tcPr>
            <w:tcW w:w="1701"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rPr>
                <w:rFonts w:eastAsia="Times New Roman"/>
                <w:color w:val="000000"/>
                <w:sz w:val="24"/>
                <w:szCs w:val="24"/>
              </w:rPr>
            </w:pPr>
            <w:r w:rsidRPr="00B61D86">
              <w:rPr>
                <w:rFonts w:eastAsia="Times New Roman"/>
                <w:color w:val="000000"/>
                <w:sz w:val="24"/>
                <w:szCs w:val="24"/>
              </w:rPr>
              <w:t>с. Янтиково</w:t>
            </w:r>
          </w:p>
        </w:tc>
        <w:tc>
          <w:tcPr>
            <w:tcW w:w="1417"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16421</w:t>
            </w:r>
          </w:p>
        </w:tc>
        <w:tc>
          <w:tcPr>
            <w:tcW w:w="1559"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524,4</w:t>
            </w:r>
          </w:p>
        </w:tc>
        <w:tc>
          <w:tcPr>
            <w:tcW w:w="1843" w:type="dxa"/>
            <w:tcBorders>
              <w:top w:val="nil"/>
              <w:left w:val="nil"/>
              <w:bottom w:val="single" w:sz="4" w:space="0" w:color="auto"/>
              <w:right w:val="single" w:sz="4" w:space="0" w:color="auto"/>
            </w:tcBorders>
            <w:shd w:val="clear" w:color="000000" w:fill="FFFFFF"/>
            <w:vAlign w:val="center"/>
            <w:hideMark/>
          </w:tcPr>
          <w:p w:rsidR="00D34D11" w:rsidRPr="00B61D86" w:rsidRDefault="00D34D11"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31</w:t>
            </w:r>
          </w:p>
        </w:tc>
      </w:tr>
    </w:tbl>
    <w:p w:rsidR="00D34D11" w:rsidRPr="00B61D86" w:rsidRDefault="00D34D11" w:rsidP="00D34D11">
      <w:pPr>
        <w:ind w:firstLine="720"/>
        <w:jc w:val="both"/>
        <w:rPr>
          <w:rFonts w:eastAsia="Times New Roman"/>
          <w:sz w:val="24"/>
          <w:szCs w:val="24"/>
        </w:rPr>
      </w:pPr>
    </w:p>
    <w:p w:rsidR="00D34D11" w:rsidRPr="00B61D86" w:rsidRDefault="00D34D11" w:rsidP="00D34D11">
      <w:pPr>
        <w:ind w:firstLine="720"/>
        <w:jc w:val="both"/>
        <w:rPr>
          <w:rFonts w:eastAsia="Times New Roman"/>
          <w:sz w:val="24"/>
          <w:szCs w:val="24"/>
        </w:rPr>
      </w:pPr>
      <w:r w:rsidRPr="00B61D86">
        <w:rPr>
          <w:rFonts w:eastAsia="Times New Roman"/>
          <w:sz w:val="24"/>
          <w:szCs w:val="24"/>
        </w:rPr>
        <w:t>АЗС Чувашской Республики располагаются преимущественно в крупных населенных пунктах (районных центрах и городах) и на трассах федерального и регионального значения.</w:t>
      </w:r>
    </w:p>
    <w:p w:rsidR="00D34D11" w:rsidRPr="00B61D86" w:rsidRDefault="00D34D11" w:rsidP="00D34D11">
      <w:pPr>
        <w:ind w:firstLine="720"/>
        <w:jc w:val="both"/>
        <w:rPr>
          <w:rFonts w:eastAsia="Times New Roman"/>
          <w:sz w:val="24"/>
          <w:szCs w:val="24"/>
        </w:rPr>
      </w:pPr>
      <w:r w:rsidRPr="00B61D86">
        <w:rPr>
          <w:rFonts w:eastAsia="Times New Roman"/>
          <w:sz w:val="24"/>
          <w:szCs w:val="24"/>
        </w:rPr>
        <w:t xml:space="preserve">В 17 районах Республики количество АЗС варьирует от 1-ой до 3-х, кроме этого в </w:t>
      </w:r>
      <w:proofErr w:type="spellStart"/>
      <w:r w:rsidRPr="00B61D86">
        <w:rPr>
          <w:rFonts w:eastAsia="Times New Roman"/>
          <w:sz w:val="24"/>
          <w:szCs w:val="24"/>
        </w:rPr>
        <w:t>Моргаушском</w:t>
      </w:r>
      <w:proofErr w:type="spellEnd"/>
      <w:r w:rsidRPr="00B61D86">
        <w:rPr>
          <w:rFonts w:eastAsia="Times New Roman"/>
          <w:sz w:val="24"/>
          <w:szCs w:val="24"/>
        </w:rPr>
        <w:t xml:space="preserve"> районе 7 АЗС, в Порецком и Цивильском районах по 4 АЗС и 5 АЗС в </w:t>
      </w:r>
      <w:proofErr w:type="spellStart"/>
      <w:r w:rsidRPr="00B61D86">
        <w:rPr>
          <w:rFonts w:eastAsia="Times New Roman"/>
          <w:sz w:val="24"/>
          <w:szCs w:val="24"/>
        </w:rPr>
        <w:t>Шумерлинском</w:t>
      </w:r>
      <w:proofErr w:type="spellEnd"/>
      <w:r w:rsidRPr="00B61D86">
        <w:rPr>
          <w:rFonts w:eastAsia="Times New Roman"/>
          <w:sz w:val="24"/>
          <w:szCs w:val="24"/>
        </w:rPr>
        <w:t xml:space="preserve"> районе. Учитывая площадь каждого муниципального образования, для розничного покупателя нецелесообразно, с экономической точки зрения, приобретать </w:t>
      </w:r>
      <w:proofErr w:type="spellStart"/>
      <w:r w:rsidRPr="00B61D86">
        <w:rPr>
          <w:rFonts w:eastAsia="Times New Roman"/>
          <w:sz w:val="24"/>
          <w:szCs w:val="24"/>
        </w:rPr>
        <w:t>автобензинов</w:t>
      </w:r>
      <w:proofErr w:type="spellEnd"/>
      <w:r w:rsidRPr="00B61D86">
        <w:rPr>
          <w:rFonts w:eastAsia="Times New Roman"/>
          <w:sz w:val="24"/>
          <w:szCs w:val="24"/>
        </w:rPr>
        <w:t xml:space="preserve"> за пределами района, в котором он проживает. </w:t>
      </w:r>
    </w:p>
    <w:p w:rsidR="001D4ADC" w:rsidRPr="00B61D86" w:rsidRDefault="00D34D11" w:rsidP="00D34D11">
      <w:pPr>
        <w:shd w:val="clear" w:color="auto" w:fill="FFFFFF"/>
        <w:tabs>
          <w:tab w:val="left" w:pos="698"/>
        </w:tabs>
        <w:spacing w:line="306" w:lineRule="exact"/>
        <w:jc w:val="both"/>
        <w:rPr>
          <w:sz w:val="24"/>
          <w:szCs w:val="24"/>
        </w:rPr>
      </w:pPr>
      <w:r w:rsidRPr="00B61D86">
        <w:rPr>
          <w:sz w:val="24"/>
          <w:szCs w:val="24"/>
        </w:rPr>
        <w:t xml:space="preserve">            </w:t>
      </w:r>
      <w:proofErr w:type="gramStart"/>
      <w:r w:rsidR="001D4ADC" w:rsidRPr="00B61D86">
        <w:rPr>
          <w:sz w:val="24"/>
          <w:szCs w:val="24"/>
        </w:rPr>
        <w:t xml:space="preserve">В ходе наблюдений за рынком розничной реализации нефтепродуктов Чувашским УФАС  России был выделен один локальный рынок городов Чебоксары, Новочебоксарск и Чебоксарского района, так как, учитывая их территориальную близость (расстояние между максимально удаленной АЗС г. Новочебоксарск и центром г. Чебоксары </w:t>
      </w:r>
      <w:smartTag w:uri="urn:schemas-microsoft-com:office:smarttags" w:element="metricconverter">
        <w:smartTagPr>
          <w:attr w:name="ProductID" w:val="15,5 км"/>
        </w:smartTagPr>
        <w:r w:rsidR="001D4ADC" w:rsidRPr="00B61D86">
          <w:rPr>
            <w:sz w:val="24"/>
            <w:szCs w:val="24"/>
          </w:rPr>
          <w:t>15,5 км</w:t>
        </w:r>
      </w:smartTag>
      <w:r w:rsidR="001D4ADC" w:rsidRPr="00B61D86">
        <w:rPr>
          <w:sz w:val="24"/>
          <w:szCs w:val="24"/>
        </w:rPr>
        <w:t xml:space="preserve">, расстояние между максимально удаленной АЗС Чебоксарского района и центром г. Чебоксары </w:t>
      </w:r>
      <w:smartTag w:uri="urn:schemas-microsoft-com:office:smarttags" w:element="metricconverter">
        <w:smartTagPr>
          <w:attr w:name="ProductID" w:val="26,7 км"/>
        </w:smartTagPr>
        <w:r w:rsidR="001D4ADC" w:rsidRPr="00B61D86">
          <w:rPr>
            <w:sz w:val="24"/>
            <w:szCs w:val="24"/>
          </w:rPr>
          <w:t>26,7 км</w:t>
        </w:r>
      </w:smartTag>
      <w:r w:rsidR="001D4ADC" w:rsidRPr="00B61D86">
        <w:rPr>
          <w:sz w:val="24"/>
          <w:szCs w:val="24"/>
        </w:rPr>
        <w:t>), потребители активно перемещаются в пределах данного</w:t>
      </w:r>
      <w:proofErr w:type="gramEnd"/>
      <w:r w:rsidR="001D4ADC" w:rsidRPr="00B61D86">
        <w:rPr>
          <w:sz w:val="24"/>
          <w:szCs w:val="24"/>
        </w:rPr>
        <w:t xml:space="preserve"> локального рынка, в том числе в связи с местом работы, учебы. </w:t>
      </w:r>
    </w:p>
    <w:p w:rsidR="001D4ADC" w:rsidRPr="00B61D86" w:rsidRDefault="001D4ADC" w:rsidP="001D4ADC">
      <w:pPr>
        <w:ind w:firstLine="720"/>
        <w:jc w:val="both"/>
        <w:rPr>
          <w:sz w:val="24"/>
          <w:szCs w:val="24"/>
        </w:rPr>
      </w:pPr>
      <w:r w:rsidRPr="00B61D86">
        <w:rPr>
          <w:sz w:val="24"/>
          <w:szCs w:val="24"/>
        </w:rPr>
        <w:t>Об активном перемещении жителей указанных населенных пунктов свидетельствуют и данные средств массовой информации, публикации на Интернет сайтах:</w:t>
      </w:r>
    </w:p>
    <w:p w:rsidR="001D4ADC" w:rsidRPr="00B61D86" w:rsidRDefault="001D4ADC" w:rsidP="001D4ADC">
      <w:pPr>
        <w:ind w:firstLine="709"/>
        <w:jc w:val="both"/>
        <w:rPr>
          <w:sz w:val="24"/>
          <w:szCs w:val="24"/>
        </w:rPr>
      </w:pPr>
      <w:r w:rsidRPr="00B61D86">
        <w:rPr>
          <w:sz w:val="24"/>
          <w:szCs w:val="24"/>
        </w:rPr>
        <w:t xml:space="preserve">1. </w:t>
      </w:r>
      <w:hyperlink r:id="rId33" w:history="1">
        <w:r w:rsidRPr="00B61D86">
          <w:rPr>
            <w:rStyle w:val="a4"/>
            <w:color w:val="auto"/>
            <w:sz w:val="24"/>
            <w:szCs w:val="24"/>
            <w:u w:val="none"/>
          </w:rPr>
          <w:t>http://www.volgainform.ru/allnews/947740/</w:t>
        </w:r>
      </w:hyperlink>
      <w:r w:rsidRPr="00B61D86">
        <w:rPr>
          <w:sz w:val="24"/>
          <w:szCs w:val="24"/>
        </w:rPr>
        <w:t xml:space="preserve">, </w:t>
      </w:r>
    </w:p>
    <w:p w:rsidR="001D4ADC" w:rsidRPr="00B61D86" w:rsidRDefault="007B6610" w:rsidP="001D4ADC">
      <w:pPr>
        <w:ind w:firstLine="709"/>
        <w:outlineLvl w:val="0"/>
        <w:rPr>
          <w:sz w:val="24"/>
          <w:szCs w:val="24"/>
        </w:rPr>
      </w:pPr>
      <w:hyperlink r:id="rId34" w:history="1">
        <w:r w:rsidR="001D4ADC" w:rsidRPr="00B61D86">
          <w:rPr>
            <w:rStyle w:val="a4"/>
            <w:color w:val="auto"/>
            <w:sz w:val="24"/>
            <w:szCs w:val="24"/>
            <w:u w:val="none"/>
          </w:rPr>
          <w:t>http://www.smi21.ru/?mode=publication&amp;path=publication,orgs&amp;orgs=25&amp;publication=151871&amp;p_date=25.01.2008&amp;date=28.01.2008&amp;p_page=402</w:t>
        </w:r>
      </w:hyperlink>
    </w:p>
    <w:p w:rsidR="001D4ADC" w:rsidRPr="00B61D86" w:rsidRDefault="001D4ADC" w:rsidP="001D4ADC">
      <w:pPr>
        <w:ind w:firstLine="993"/>
        <w:outlineLvl w:val="0"/>
        <w:rPr>
          <w:bCs/>
          <w:kern w:val="36"/>
          <w:sz w:val="24"/>
          <w:szCs w:val="24"/>
        </w:rPr>
      </w:pPr>
      <w:r w:rsidRPr="00B61D86">
        <w:rPr>
          <w:bCs/>
          <w:kern w:val="36"/>
          <w:sz w:val="24"/>
          <w:szCs w:val="24"/>
        </w:rPr>
        <w:t xml:space="preserve">Статья, опубликованная </w:t>
      </w:r>
      <w:proofErr w:type="spellStart"/>
      <w:r w:rsidRPr="00B61D86">
        <w:rPr>
          <w:bCs/>
          <w:kern w:val="36"/>
          <w:sz w:val="24"/>
          <w:szCs w:val="24"/>
        </w:rPr>
        <w:t>инфоромагентством</w:t>
      </w:r>
      <w:proofErr w:type="spellEnd"/>
      <w:r w:rsidRPr="00B61D86">
        <w:rPr>
          <w:bCs/>
          <w:kern w:val="36"/>
          <w:sz w:val="24"/>
          <w:szCs w:val="24"/>
        </w:rPr>
        <w:t xml:space="preserve"> </w:t>
      </w:r>
      <w:proofErr w:type="spellStart"/>
      <w:r w:rsidRPr="00B61D86">
        <w:rPr>
          <w:bCs/>
          <w:kern w:val="36"/>
          <w:sz w:val="24"/>
          <w:szCs w:val="24"/>
        </w:rPr>
        <w:t>Регнум</w:t>
      </w:r>
      <w:proofErr w:type="spellEnd"/>
      <w:r w:rsidRPr="00B61D86">
        <w:rPr>
          <w:bCs/>
          <w:kern w:val="36"/>
          <w:sz w:val="24"/>
          <w:szCs w:val="24"/>
        </w:rPr>
        <w:t xml:space="preserve"> «Слияние Чебоксар и Новочебоксарска: власть - за, общество - не знает»</w:t>
      </w:r>
    </w:p>
    <w:p w:rsidR="001D4ADC" w:rsidRPr="00B61D86" w:rsidRDefault="001D4ADC" w:rsidP="001D4ADC">
      <w:pPr>
        <w:outlineLvl w:val="0"/>
        <w:rPr>
          <w:sz w:val="24"/>
          <w:szCs w:val="24"/>
        </w:rPr>
      </w:pPr>
      <w:r w:rsidRPr="00B61D86">
        <w:rPr>
          <w:sz w:val="24"/>
          <w:szCs w:val="24"/>
        </w:rPr>
        <w:t xml:space="preserve">«…проблемы доступного жилья, </w:t>
      </w:r>
      <w:proofErr w:type="gramStart"/>
      <w:r w:rsidRPr="00B61D86">
        <w:rPr>
          <w:sz w:val="24"/>
          <w:szCs w:val="24"/>
        </w:rPr>
        <w:t>интересен</w:t>
      </w:r>
      <w:proofErr w:type="gramEnd"/>
      <w:r w:rsidRPr="00B61D86">
        <w:rPr>
          <w:sz w:val="24"/>
          <w:szCs w:val="24"/>
        </w:rPr>
        <w:t xml:space="preserve"> не столько жителям столицы, сколько жителям Новочебоксарска, которые в основной своей массе (до 70%) трудоустроены в Чебоксарах….».</w:t>
      </w:r>
    </w:p>
    <w:p w:rsidR="001D4ADC" w:rsidRPr="00B61D86" w:rsidRDefault="001D4ADC" w:rsidP="001D4ADC">
      <w:pPr>
        <w:ind w:firstLine="709"/>
        <w:outlineLvl w:val="0"/>
        <w:rPr>
          <w:bCs/>
          <w:kern w:val="36"/>
          <w:sz w:val="24"/>
          <w:szCs w:val="24"/>
        </w:rPr>
      </w:pPr>
      <w:r w:rsidRPr="00B61D86">
        <w:rPr>
          <w:bCs/>
          <w:kern w:val="36"/>
          <w:sz w:val="24"/>
          <w:szCs w:val="24"/>
        </w:rPr>
        <w:t xml:space="preserve">2. </w:t>
      </w:r>
      <w:hyperlink r:id="rId35" w:history="1">
        <w:r w:rsidRPr="00B61D86">
          <w:rPr>
            <w:rStyle w:val="a4"/>
            <w:bCs/>
            <w:color w:val="auto"/>
            <w:kern w:val="36"/>
            <w:sz w:val="24"/>
            <w:szCs w:val="24"/>
            <w:u w:val="none"/>
          </w:rPr>
          <w:t>http://www.gov.cap.ru/hierarhy.asp?page=./11848/28975/30954/433873/436533/436636</w:t>
        </w:r>
      </w:hyperlink>
    </w:p>
    <w:p w:rsidR="001D4ADC" w:rsidRPr="00B61D86" w:rsidRDefault="001D4ADC" w:rsidP="001D4ADC">
      <w:pPr>
        <w:ind w:firstLine="720"/>
        <w:jc w:val="both"/>
        <w:rPr>
          <w:bCs/>
          <w:sz w:val="24"/>
          <w:szCs w:val="24"/>
        </w:rPr>
      </w:pPr>
      <w:r w:rsidRPr="00B61D86">
        <w:rPr>
          <w:bCs/>
          <w:sz w:val="24"/>
          <w:szCs w:val="24"/>
        </w:rPr>
        <w:t>Статья на официальном сайте города Чебоксары «Об объединении городов Чебоксары и Новочебоксарск»</w:t>
      </w:r>
    </w:p>
    <w:p w:rsidR="001D4ADC" w:rsidRPr="00B61D86" w:rsidRDefault="001D4ADC" w:rsidP="001D4ADC">
      <w:pPr>
        <w:jc w:val="both"/>
        <w:outlineLvl w:val="0"/>
        <w:rPr>
          <w:sz w:val="24"/>
          <w:szCs w:val="24"/>
        </w:rPr>
      </w:pPr>
      <w:r w:rsidRPr="00B61D86">
        <w:rPr>
          <w:sz w:val="24"/>
          <w:szCs w:val="24"/>
        </w:rPr>
        <w:t>«…. Объединение городов повысит мобильность трудовых ресурсов. На сегодняшний день большая часть трудоспособного населения Новочебоксарска трудится в Чебоксарах, вследствие чего наблюдается ежедневная маятниковая миграция населения по стратегической магистрали (ул</w:t>
      </w:r>
      <w:proofErr w:type="gramStart"/>
      <w:r w:rsidRPr="00B61D86">
        <w:rPr>
          <w:sz w:val="24"/>
          <w:szCs w:val="24"/>
        </w:rPr>
        <w:t>.К</w:t>
      </w:r>
      <w:proofErr w:type="gramEnd"/>
      <w:r w:rsidRPr="00B61D86">
        <w:rPr>
          <w:sz w:val="24"/>
          <w:szCs w:val="24"/>
        </w:rPr>
        <w:t>алинина)…»</w:t>
      </w:r>
    </w:p>
    <w:p w:rsidR="001D4ADC" w:rsidRPr="00B61D86" w:rsidRDefault="001D4ADC" w:rsidP="001D4ADC">
      <w:pPr>
        <w:ind w:firstLine="709"/>
        <w:jc w:val="both"/>
        <w:rPr>
          <w:sz w:val="24"/>
          <w:szCs w:val="24"/>
        </w:rPr>
      </w:pPr>
      <w:r w:rsidRPr="00B61D86">
        <w:rPr>
          <w:sz w:val="24"/>
          <w:szCs w:val="24"/>
        </w:rPr>
        <w:t xml:space="preserve">3. </w:t>
      </w:r>
      <w:hyperlink r:id="rId36" w:history="1">
        <w:r w:rsidRPr="00B61D86">
          <w:rPr>
            <w:rStyle w:val="a4"/>
            <w:color w:val="auto"/>
            <w:sz w:val="24"/>
            <w:szCs w:val="24"/>
            <w:u w:val="none"/>
          </w:rPr>
          <w:t>http://www.cap.ru/home/93/000/pu27/history.html</w:t>
        </w:r>
      </w:hyperlink>
      <w:r w:rsidRPr="00B61D86">
        <w:rPr>
          <w:sz w:val="24"/>
          <w:szCs w:val="24"/>
        </w:rPr>
        <w:t xml:space="preserve"> - </w:t>
      </w:r>
    </w:p>
    <w:p w:rsidR="001D4ADC" w:rsidRPr="00B61D86" w:rsidRDefault="001D4ADC" w:rsidP="001D4ADC">
      <w:pPr>
        <w:jc w:val="both"/>
        <w:rPr>
          <w:sz w:val="24"/>
          <w:szCs w:val="24"/>
        </w:rPr>
      </w:pPr>
      <w:r w:rsidRPr="00B61D86">
        <w:rPr>
          <w:sz w:val="24"/>
          <w:szCs w:val="24"/>
        </w:rPr>
        <w:t>«… Поселок Кугеси является центром Чебоксарского района. Основное трудоспособное население поселка занято в различных отраслях народного хозяйства. Часть населения трудится на предприятиях и в учреждениях г</w:t>
      </w:r>
      <w:proofErr w:type="gramStart"/>
      <w:r w:rsidRPr="00B61D86">
        <w:rPr>
          <w:sz w:val="24"/>
          <w:szCs w:val="24"/>
        </w:rPr>
        <w:t>.Ч</w:t>
      </w:r>
      <w:proofErr w:type="gramEnd"/>
      <w:r w:rsidRPr="00B61D86">
        <w:rPr>
          <w:sz w:val="24"/>
          <w:szCs w:val="24"/>
        </w:rPr>
        <w:t xml:space="preserve">ебоксары, т.к. п.Кугеси расположен в пригороде, на расстоянии </w:t>
      </w:r>
      <w:smartTag w:uri="urn:schemas-microsoft-com:office:smarttags" w:element="metricconverter">
        <w:smartTagPr>
          <w:attr w:name="ProductID" w:val="11 км"/>
        </w:smartTagPr>
        <w:r w:rsidRPr="00B61D86">
          <w:rPr>
            <w:sz w:val="24"/>
            <w:szCs w:val="24"/>
          </w:rPr>
          <w:t>11 км</w:t>
        </w:r>
      </w:smartTag>
      <w:r w:rsidRPr="00B61D86">
        <w:rPr>
          <w:sz w:val="24"/>
          <w:szCs w:val="24"/>
        </w:rPr>
        <w:t xml:space="preserve"> от столицы республики…»</w:t>
      </w:r>
    </w:p>
    <w:p w:rsidR="001D4ADC" w:rsidRPr="00B61D86" w:rsidRDefault="001D4ADC" w:rsidP="001D4ADC">
      <w:pPr>
        <w:ind w:firstLine="709"/>
        <w:outlineLvl w:val="0"/>
        <w:rPr>
          <w:bCs/>
          <w:kern w:val="36"/>
          <w:sz w:val="24"/>
          <w:szCs w:val="24"/>
        </w:rPr>
      </w:pPr>
      <w:r w:rsidRPr="00B61D86">
        <w:rPr>
          <w:bCs/>
          <w:kern w:val="36"/>
          <w:sz w:val="24"/>
          <w:szCs w:val="24"/>
        </w:rPr>
        <w:t xml:space="preserve">4. </w:t>
      </w:r>
      <w:hyperlink r:id="rId37" w:history="1">
        <w:r w:rsidRPr="00B61D86">
          <w:rPr>
            <w:rStyle w:val="a4"/>
            <w:bCs/>
            <w:color w:val="auto"/>
            <w:kern w:val="36"/>
            <w:sz w:val="24"/>
            <w:szCs w:val="24"/>
            <w:u w:val="none"/>
          </w:rPr>
          <w:t>http://www.gov.cap.ru/hierarhy.asp?page=./299/362/16339/16340/16362/16365/16377</w:t>
        </w:r>
      </w:hyperlink>
    </w:p>
    <w:p w:rsidR="001D4ADC" w:rsidRPr="00B61D86" w:rsidRDefault="001D4ADC" w:rsidP="001D4ADC">
      <w:pPr>
        <w:jc w:val="both"/>
        <w:rPr>
          <w:kern w:val="20"/>
          <w:sz w:val="24"/>
          <w:szCs w:val="24"/>
        </w:rPr>
      </w:pPr>
      <w:r w:rsidRPr="00B61D86">
        <w:rPr>
          <w:kern w:val="20"/>
          <w:sz w:val="24"/>
          <w:szCs w:val="24"/>
        </w:rPr>
        <w:t xml:space="preserve">«… открытие автобусного движения между городом Чебоксары и деревней Кугеси, предоставившего многим возможность трудоустройства в Чебоксарах, где в то время находились такие заводы, как кирпичный (целых три), лесопильный, деревообрабатывающий, кожевенный, </w:t>
      </w:r>
      <w:proofErr w:type="spellStart"/>
      <w:r w:rsidRPr="00B61D86">
        <w:rPr>
          <w:kern w:val="20"/>
          <w:sz w:val="24"/>
          <w:szCs w:val="24"/>
        </w:rPr>
        <w:t>спиртоперегоночный</w:t>
      </w:r>
      <w:proofErr w:type="spellEnd"/>
      <w:r w:rsidRPr="00B61D86">
        <w:rPr>
          <w:kern w:val="20"/>
          <w:sz w:val="24"/>
          <w:szCs w:val="24"/>
        </w:rPr>
        <w:t>, макаронная фабрика, электростанция, две типографии, авторемонтные мастерские. Кроме того, появилась возможность получения образования, не уезжая из дома, в таких учебных заведениях Чебоксар, как сельскохозяйственный и педагогические институты, два рабфака, музыкальный, сельскохозяйственный, строительный, кооперативный техникумы...».</w:t>
      </w:r>
    </w:p>
    <w:p w:rsidR="00E05672" w:rsidRPr="00B61D86" w:rsidRDefault="00E05672" w:rsidP="00E05672">
      <w:pPr>
        <w:ind w:firstLine="709"/>
        <w:jc w:val="both"/>
        <w:rPr>
          <w:rFonts w:eastAsia="Times New Roman"/>
          <w:sz w:val="24"/>
          <w:szCs w:val="24"/>
        </w:rPr>
      </w:pPr>
      <w:r w:rsidRPr="00B61D86">
        <w:rPr>
          <w:rFonts w:eastAsia="Times New Roman"/>
          <w:kern w:val="20"/>
          <w:sz w:val="24"/>
          <w:szCs w:val="24"/>
        </w:rPr>
        <w:lastRenderedPageBreak/>
        <w:t xml:space="preserve">Указанные сведения, а также результаты наблюдений Чувашского УФАС России за товарным рынком являются достаточным основанием для определения географических границ рынков розничной реализации бензинов как границы городов </w:t>
      </w:r>
      <w:r w:rsidRPr="00B61D86">
        <w:rPr>
          <w:rFonts w:eastAsia="Times New Roman"/>
          <w:sz w:val="24"/>
          <w:szCs w:val="24"/>
        </w:rPr>
        <w:t>Чебоксары, Новочебоксарск и Чебоксарского района.</w:t>
      </w:r>
    </w:p>
    <w:p w:rsidR="00E05672" w:rsidRPr="00B61D86" w:rsidRDefault="00E05672" w:rsidP="00E05672">
      <w:pPr>
        <w:ind w:firstLine="709"/>
        <w:jc w:val="both"/>
        <w:rPr>
          <w:rFonts w:eastAsia="Times New Roman"/>
          <w:sz w:val="24"/>
          <w:szCs w:val="24"/>
        </w:rPr>
      </w:pPr>
      <w:proofErr w:type="gramStart"/>
      <w:r w:rsidRPr="00B61D86">
        <w:rPr>
          <w:rFonts w:eastAsia="Times New Roman"/>
          <w:sz w:val="24"/>
          <w:szCs w:val="24"/>
        </w:rPr>
        <w:t>Географические границы локальных рынков  определены исходя из расположенных на его территории АЗС, с у четом протяженности маршрута следования до АЗС в соседних районах, а так же минимальных временных затратах и транспортных расходах, связанных с приобретением нефтепродуктов на АЗС, расположенных в соседних районах.</w:t>
      </w:r>
      <w:proofErr w:type="gramEnd"/>
    </w:p>
    <w:p w:rsidR="00E05672" w:rsidRPr="00B61D86" w:rsidRDefault="00E05672" w:rsidP="00E05672">
      <w:pPr>
        <w:ind w:firstLine="720"/>
        <w:jc w:val="both"/>
        <w:rPr>
          <w:rFonts w:eastAsia="Times New Roman"/>
          <w:sz w:val="24"/>
          <w:szCs w:val="24"/>
        </w:rPr>
      </w:pPr>
      <w:r w:rsidRPr="00B61D86">
        <w:rPr>
          <w:rFonts w:eastAsia="Times New Roman"/>
          <w:sz w:val="24"/>
          <w:szCs w:val="24"/>
        </w:rPr>
        <w:t xml:space="preserve">В процессе анализа розничного рынка дизельного топлива на территории республики было выделено </w:t>
      </w:r>
      <w:r w:rsidRPr="00B61D86">
        <w:rPr>
          <w:rFonts w:eastAsia="Times New Roman"/>
          <w:b/>
          <w:sz w:val="24"/>
          <w:szCs w:val="24"/>
        </w:rPr>
        <w:t xml:space="preserve">21 локальный рынок, </w:t>
      </w:r>
      <w:proofErr w:type="gramStart"/>
      <w:r w:rsidRPr="00B61D86">
        <w:rPr>
          <w:rFonts w:eastAsia="Times New Roman"/>
          <w:sz w:val="24"/>
          <w:szCs w:val="24"/>
        </w:rPr>
        <w:t>характеризующихся</w:t>
      </w:r>
      <w:proofErr w:type="gramEnd"/>
      <w:r w:rsidRPr="00B61D86">
        <w:rPr>
          <w:rFonts w:eastAsia="Times New Roman"/>
          <w:sz w:val="24"/>
          <w:szCs w:val="24"/>
        </w:rPr>
        <w:t xml:space="preserve"> равными или несущественно отличающимися ценами (менее 10%).  </w:t>
      </w:r>
    </w:p>
    <w:p w:rsidR="005970B9" w:rsidRPr="00B61D86" w:rsidRDefault="005970B9" w:rsidP="00E05672">
      <w:pPr>
        <w:ind w:firstLine="720"/>
        <w:jc w:val="both"/>
        <w:rPr>
          <w:rFonts w:eastAsia="Times New Roman"/>
          <w:sz w:val="24"/>
          <w:szCs w:val="24"/>
        </w:rPr>
      </w:pPr>
    </w:p>
    <w:p w:rsidR="001D4ADC" w:rsidRPr="00B61D86" w:rsidRDefault="001D4ADC" w:rsidP="001D4ADC">
      <w:pPr>
        <w:shd w:val="clear" w:color="auto" w:fill="FFFFFF"/>
        <w:spacing w:before="11" w:line="306" w:lineRule="exact"/>
        <w:ind w:left="18" w:right="4" w:firstLine="684"/>
        <w:jc w:val="both"/>
        <w:rPr>
          <w:rFonts w:eastAsia="Times New Roman"/>
          <w:color w:val="000000"/>
          <w:spacing w:val="-5"/>
          <w:sz w:val="24"/>
          <w:szCs w:val="24"/>
        </w:rPr>
      </w:pPr>
      <w:r w:rsidRPr="00B61D86">
        <w:rPr>
          <w:rFonts w:eastAsia="Times New Roman"/>
          <w:color w:val="000000"/>
          <w:spacing w:val="-5"/>
          <w:sz w:val="24"/>
          <w:szCs w:val="24"/>
        </w:rPr>
        <w:t xml:space="preserve">                                                                                                             </w:t>
      </w:r>
      <w:r w:rsidR="003F5048" w:rsidRPr="00B61D86">
        <w:rPr>
          <w:rFonts w:eastAsia="Times New Roman"/>
          <w:color w:val="000000"/>
          <w:spacing w:val="-5"/>
          <w:sz w:val="24"/>
          <w:szCs w:val="24"/>
        </w:rPr>
        <w:t xml:space="preserve">                    Таблица 3</w:t>
      </w:r>
    </w:p>
    <w:tbl>
      <w:tblPr>
        <w:tblW w:w="4406" w:type="dxa"/>
        <w:tblInd w:w="93" w:type="dxa"/>
        <w:tblLook w:val="04A0" w:firstRow="1" w:lastRow="0" w:firstColumn="1" w:lastColumn="0" w:noHBand="0" w:noVBand="1"/>
      </w:tblPr>
      <w:tblGrid>
        <w:gridCol w:w="741"/>
        <w:gridCol w:w="2320"/>
        <w:gridCol w:w="2021"/>
      </w:tblGrid>
      <w:tr w:rsidR="001D4ADC" w:rsidRPr="00B61D86" w:rsidTr="009A307B">
        <w:trPr>
          <w:trHeight w:val="28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Район Республики</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Районный центр</w:t>
            </w:r>
          </w:p>
        </w:tc>
      </w:tr>
      <w:tr w:rsidR="001D4ADC" w:rsidRPr="00B61D86" w:rsidTr="009A307B">
        <w:trPr>
          <w:trHeight w:val="28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w:t>
            </w:r>
          </w:p>
        </w:tc>
        <w:tc>
          <w:tcPr>
            <w:tcW w:w="2320" w:type="dxa"/>
            <w:tcBorders>
              <w:top w:val="nil"/>
              <w:left w:val="nil"/>
              <w:bottom w:val="single" w:sz="4" w:space="0" w:color="auto"/>
              <w:right w:val="single" w:sz="4" w:space="0" w:color="auto"/>
            </w:tcBorders>
            <w:shd w:val="clear" w:color="000000" w:fill="FFFFFF"/>
            <w:vAlign w:val="center"/>
          </w:tcPr>
          <w:p w:rsidR="001D4ADC" w:rsidRPr="00B61D86" w:rsidRDefault="009A307B" w:rsidP="00D34D11">
            <w:pPr>
              <w:widowControl/>
              <w:autoSpaceDE/>
              <w:autoSpaceDN/>
              <w:adjustRightInd/>
              <w:rPr>
                <w:rFonts w:eastAsia="Times New Roman"/>
                <w:color w:val="000000"/>
                <w:sz w:val="24"/>
                <w:szCs w:val="24"/>
              </w:rPr>
            </w:pPr>
            <w:proofErr w:type="spellStart"/>
            <w:r w:rsidRPr="00B61D86">
              <w:rPr>
                <w:rFonts w:eastAsia="Times New Roman"/>
                <w:color w:val="000000"/>
                <w:sz w:val="24"/>
                <w:szCs w:val="24"/>
              </w:rPr>
              <w:t>Алатырский</w:t>
            </w:r>
            <w:proofErr w:type="spellEnd"/>
            <w:r w:rsidRPr="00B61D86">
              <w:rPr>
                <w:rFonts w:eastAsia="Times New Roman"/>
                <w:color w:val="000000"/>
                <w:sz w:val="24"/>
                <w:szCs w:val="24"/>
              </w:rPr>
              <w:t xml:space="preserve"> район</w:t>
            </w:r>
          </w:p>
        </w:tc>
        <w:tc>
          <w:tcPr>
            <w:tcW w:w="1520" w:type="dxa"/>
            <w:tcBorders>
              <w:top w:val="nil"/>
              <w:left w:val="nil"/>
              <w:bottom w:val="single" w:sz="4" w:space="0" w:color="auto"/>
              <w:right w:val="single" w:sz="4" w:space="0" w:color="auto"/>
            </w:tcBorders>
            <w:shd w:val="clear" w:color="000000" w:fill="FFFFFF"/>
            <w:vAlign w:val="center"/>
          </w:tcPr>
          <w:p w:rsidR="001D4ADC" w:rsidRPr="00B61D86" w:rsidRDefault="009A307B" w:rsidP="00D34D11">
            <w:pPr>
              <w:widowControl/>
              <w:autoSpaceDE/>
              <w:autoSpaceDN/>
              <w:adjustRightInd/>
              <w:rPr>
                <w:rFonts w:eastAsia="Times New Roman"/>
                <w:color w:val="000000"/>
                <w:sz w:val="24"/>
                <w:szCs w:val="24"/>
              </w:rPr>
            </w:pPr>
            <w:r w:rsidRPr="00B61D86">
              <w:rPr>
                <w:rFonts w:eastAsia="Times New Roman"/>
                <w:color w:val="000000"/>
                <w:sz w:val="24"/>
                <w:szCs w:val="24"/>
              </w:rPr>
              <w:t>г. Алатырь</w:t>
            </w:r>
          </w:p>
        </w:tc>
      </w:tr>
      <w:tr w:rsidR="009A307B" w:rsidRPr="00B61D86" w:rsidTr="009A307B">
        <w:trPr>
          <w:trHeight w:val="28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A307B" w:rsidRPr="00B61D86" w:rsidRDefault="009A307B"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2</w:t>
            </w:r>
          </w:p>
        </w:tc>
        <w:tc>
          <w:tcPr>
            <w:tcW w:w="2320" w:type="dxa"/>
            <w:tcBorders>
              <w:top w:val="nil"/>
              <w:left w:val="nil"/>
              <w:bottom w:val="single" w:sz="4" w:space="0" w:color="auto"/>
              <w:right w:val="single" w:sz="4" w:space="0" w:color="auto"/>
            </w:tcBorders>
            <w:shd w:val="clear" w:color="000000" w:fill="FFFFFF"/>
            <w:vAlign w:val="center"/>
          </w:tcPr>
          <w:p w:rsidR="009A307B" w:rsidRPr="00B61D86" w:rsidRDefault="007B6610" w:rsidP="00160325">
            <w:pPr>
              <w:widowControl/>
              <w:autoSpaceDE/>
              <w:autoSpaceDN/>
              <w:adjustRightInd/>
              <w:rPr>
                <w:rFonts w:eastAsia="Times New Roman"/>
                <w:color w:val="000000"/>
                <w:sz w:val="24"/>
                <w:szCs w:val="24"/>
              </w:rPr>
            </w:pPr>
            <w:hyperlink r:id="rId38" w:history="1">
              <w:proofErr w:type="spellStart"/>
              <w:r w:rsidR="009A307B" w:rsidRPr="00B61D86">
                <w:rPr>
                  <w:rFonts w:eastAsia="Times New Roman"/>
                  <w:color w:val="000000"/>
                  <w:sz w:val="24"/>
                  <w:szCs w:val="24"/>
                </w:rPr>
                <w:t>Аликовский</w:t>
              </w:r>
              <w:proofErr w:type="spellEnd"/>
              <w:r w:rsidR="009A307B" w:rsidRPr="00B61D86">
                <w:rPr>
                  <w:rFonts w:eastAsia="Times New Roman"/>
                  <w:color w:val="000000"/>
                  <w:sz w:val="24"/>
                  <w:szCs w:val="24"/>
                </w:rPr>
                <w:t xml:space="preserve"> район</w:t>
              </w:r>
            </w:hyperlink>
          </w:p>
        </w:tc>
        <w:tc>
          <w:tcPr>
            <w:tcW w:w="1520" w:type="dxa"/>
            <w:tcBorders>
              <w:top w:val="nil"/>
              <w:left w:val="nil"/>
              <w:bottom w:val="single" w:sz="4" w:space="0" w:color="auto"/>
              <w:right w:val="single" w:sz="4" w:space="0" w:color="auto"/>
            </w:tcBorders>
            <w:shd w:val="clear" w:color="000000" w:fill="FFFFFF"/>
            <w:vAlign w:val="center"/>
          </w:tcPr>
          <w:p w:rsidR="009A307B" w:rsidRPr="00B61D86" w:rsidRDefault="009A307B" w:rsidP="00160325">
            <w:pPr>
              <w:widowControl/>
              <w:autoSpaceDE/>
              <w:autoSpaceDN/>
              <w:adjustRightInd/>
              <w:rPr>
                <w:rFonts w:eastAsia="Times New Roman"/>
                <w:color w:val="000000"/>
                <w:sz w:val="24"/>
                <w:szCs w:val="24"/>
              </w:rPr>
            </w:pPr>
            <w:r w:rsidRPr="00B61D86">
              <w:rPr>
                <w:rFonts w:eastAsia="Times New Roman"/>
                <w:color w:val="000000"/>
                <w:sz w:val="24"/>
                <w:szCs w:val="24"/>
              </w:rPr>
              <w:t>с. Аликово</w:t>
            </w:r>
          </w:p>
        </w:tc>
      </w:tr>
      <w:tr w:rsidR="009A307B" w:rsidRPr="00B61D86" w:rsidTr="009A307B">
        <w:trPr>
          <w:trHeight w:val="28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A307B" w:rsidRPr="00B61D86" w:rsidRDefault="009A307B"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3</w:t>
            </w:r>
          </w:p>
        </w:tc>
        <w:tc>
          <w:tcPr>
            <w:tcW w:w="2320" w:type="dxa"/>
            <w:tcBorders>
              <w:top w:val="nil"/>
              <w:left w:val="nil"/>
              <w:bottom w:val="single" w:sz="4" w:space="0" w:color="auto"/>
              <w:right w:val="single" w:sz="4" w:space="0" w:color="auto"/>
            </w:tcBorders>
            <w:shd w:val="clear" w:color="000000" w:fill="FFFFFF"/>
            <w:vAlign w:val="center"/>
          </w:tcPr>
          <w:p w:rsidR="009A307B" w:rsidRPr="00B61D86" w:rsidRDefault="007B6610" w:rsidP="00160325">
            <w:pPr>
              <w:widowControl/>
              <w:autoSpaceDE/>
              <w:autoSpaceDN/>
              <w:adjustRightInd/>
              <w:rPr>
                <w:rFonts w:eastAsia="Times New Roman"/>
                <w:color w:val="000000"/>
                <w:sz w:val="24"/>
                <w:szCs w:val="24"/>
              </w:rPr>
            </w:pPr>
            <w:hyperlink r:id="rId39" w:history="1">
              <w:proofErr w:type="spellStart"/>
              <w:r w:rsidR="009A307B" w:rsidRPr="00B61D86">
                <w:rPr>
                  <w:rFonts w:eastAsia="Times New Roman"/>
                  <w:color w:val="000000"/>
                  <w:sz w:val="24"/>
                  <w:szCs w:val="24"/>
                </w:rPr>
                <w:t>Батыревский</w:t>
              </w:r>
              <w:proofErr w:type="spellEnd"/>
              <w:r w:rsidR="009A307B" w:rsidRPr="00B61D86">
                <w:rPr>
                  <w:rFonts w:eastAsia="Times New Roman"/>
                  <w:color w:val="000000"/>
                  <w:sz w:val="24"/>
                  <w:szCs w:val="24"/>
                </w:rPr>
                <w:t xml:space="preserve"> район</w:t>
              </w:r>
            </w:hyperlink>
          </w:p>
        </w:tc>
        <w:tc>
          <w:tcPr>
            <w:tcW w:w="1520" w:type="dxa"/>
            <w:tcBorders>
              <w:top w:val="nil"/>
              <w:left w:val="nil"/>
              <w:bottom w:val="single" w:sz="4" w:space="0" w:color="auto"/>
              <w:right w:val="single" w:sz="4" w:space="0" w:color="auto"/>
            </w:tcBorders>
            <w:shd w:val="clear" w:color="000000" w:fill="FFFFFF"/>
            <w:vAlign w:val="center"/>
          </w:tcPr>
          <w:p w:rsidR="009A307B" w:rsidRPr="00B61D86" w:rsidRDefault="009A307B" w:rsidP="00160325">
            <w:pPr>
              <w:widowControl/>
              <w:autoSpaceDE/>
              <w:autoSpaceDN/>
              <w:adjustRightInd/>
              <w:rPr>
                <w:rFonts w:eastAsia="Times New Roman"/>
                <w:color w:val="000000"/>
                <w:sz w:val="24"/>
                <w:szCs w:val="24"/>
              </w:rPr>
            </w:pPr>
            <w:r w:rsidRPr="00B61D86">
              <w:rPr>
                <w:rFonts w:eastAsia="Times New Roman"/>
                <w:color w:val="000000"/>
                <w:sz w:val="24"/>
                <w:szCs w:val="24"/>
              </w:rPr>
              <w:t>с. Батырево</w:t>
            </w:r>
          </w:p>
        </w:tc>
      </w:tr>
      <w:tr w:rsidR="009A307B" w:rsidRPr="00B61D86" w:rsidTr="009A307B">
        <w:trPr>
          <w:trHeight w:val="28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9A307B" w:rsidRPr="00B61D86" w:rsidRDefault="009A307B"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4</w:t>
            </w:r>
          </w:p>
        </w:tc>
        <w:tc>
          <w:tcPr>
            <w:tcW w:w="2320" w:type="dxa"/>
            <w:tcBorders>
              <w:top w:val="nil"/>
              <w:left w:val="nil"/>
              <w:bottom w:val="single" w:sz="4" w:space="0" w:color="auto"/>
              <w:right w:val="single" w:sz="4" w:space="0" w:color="auto"/>
            </w:tcBorders>
            <w:shd w:val="clear" w:color="000000" w:fill="FFFFFF"/>
            <w:vAlign w:val="center"/>
            <w:hideMark/>
          </w:tcPr>
          <w:p w:rsidR="009A307B" w:rsidRPr="00B61D86" w:rsidRDefault="007B6610" w:rsidP="00160325">
            <w:pPr>
              <w:widowControl/>
              <w:autoSpaceDE/>
              <w:autoSpaceDN/>
              <w:adjustRightInd/>
              <w:rPr>
                <w:rFonts w:eastAsia="Times New Roman"/>
                <w:color w:val="000000"/>
                <w:sz w:val="24"/>
                <w:szCs w:val="24"/>
              </w:rPr>
            </w:pPr>
            <w:hyperlink r:id="rId40" w:history="1">
              <w:proofErr w:type="spellStart"/>
              <w:r w:rsidR="009A307B" w:rsidRPr="00B61D86">
                <w:rPr>
                  <w:rFonts w:eastAsia="Times New Roman"/>
                  <w:color w:val="000000"/>
                  <w:sz w:val="24"/>
                  <w:szCs w:val="24"/>
                </w:rPr>
                <w:t>Вурнарский</w:t>
              </w:r>
              <w:proofErr w:type="spellEnd"/>
              <w:r w:rsidR="009A307B" w:rsidRPr="00B61D86">
                <w:rPr>
                  <w:rFonts w:eastAsia="Times New Roman"/>
                  <w:color w:val="000000"/>
                  <w:sz w:val="24"/>
                  <w:szCs w:val="24"/>
                </w:rPr>
                <w:t xml:space="preserve">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9A307B" w:rsidRPr="00B61D86" w:rsidRDefault="009A307B" w:rsidP="00160325">
            <w:pPr>
              <w:widowControl/>
              <w:autoSpaceDE/>
              <w:autoSpaceDN/>
              <w:adjustRightInd/>
              <w:rPr>
                <w:rFonts w:eastAsia="Times New Roman"/>
                <w:color w:val="000000"/>
                <w:sz w:val="24"/>
                <w:szCs w:val="24"/>
              </w:rPr>
            </w:pPr>
            <w:r w:rsidRPr="00B61D86">
              <w:rPr>
                <w:rFonts w:eastAsia="Times New Roman"/>
                <w:color w:val="000000"/>
                <w:sz w:val="24"/>
                <w:szCs w:val="24"/>
              </w:rPr>
              <w:t>п. Вурнары</w:t>
            </w:r>
          </w:p>
        </w:tc>
      </w:tr>
      <w:tr w:rsidR="001D4ADC" w:rsidRPr="00B61D86" w:rsidTr="009A307B">
        <w:trPr>
          <w:trHeight w:val="28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5</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41" w:history="1">
              <w:proofErr w:type="spellStart"/>
              <w:r w:rsidR="001D4ADC" w:rsidRPr="00B61D86">
                <w:rPr>
                  <w:rFonts w:eastAsia="Times New Roman"/>
                  <w:color w:val="000000"/>
                  <w:sz w:val="24"/>
                  <w:szCs w:val="24"/>
                </w:rPr>
                <w:t>Ибресинский</w:t>
              </w:r>
              <w:proofErr w:type="spellEnd"/>
              <w:r w:rsidR="001D4ADC" w:rsidRPr="00B61D86">
                <w:rPr>
                  <w:rFonts w:eastAsia="Times New Roman"/>
                  <w:color w:val="000000"/>
                  <w:sz w:val="24"/>
                  <w:szCs w:val="24"/>
                </w:rPr>
                <w:t xml:space="preserve">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 xml:space="preserve">пос. </w:t>
            </w:r>
            <w:proofErr w:type="spellStart"/>
            <w:r w:rsidRPr="00B61D86">
              <w:rPr>
                <w:rFonts w:eastAsia="Times New Roman"/>
                <w:color w:val="000000"/>
                <w:sz w:val="24"/>
                <w:szCs w:val="24"/>
              </w:rPr>
              <w:t>Ибреси</w:t>
            </w:r>
            <w:proofErr w:type="spellEnd"/>
          </w:p>
        </w:tc>
      </w:tr>
      <w:tr w:rsidR="001D4ADC" w:rsidRPr="00B61D86" w:rsidTr="009A307B">
        <w:trPr>
          <w:trHeight w:val="28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6</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42" w:history="1">
              <w:proofErr w:type="spellStart"/>
              <w:r w:rsidR="001D4ADC" w:rsidRPr="00B61D86">
                <w:rPr>
                  <w:rFonts w:eastAsia="Times New Roman"/>
                  <w:color w:val="000000"/>
                  <w:sz w:val="24"/>
                  <w:szCs w:val="24"/>
                </w:rPr>
                <w:t>Канашский</w:t>
              </w:r>
              <w:proofErr w:type="spellEnd"/>
              <w:r w:rsidR="001D4ADC" w:rsidRPr="00B61D86">
                <w:rPr>
                  <w:rFonts w:eastAsia="Times New Roman"/>
                  <w:color w:val="000000"/>
                  <w:sz w:val="24"/>
                  <w:szCs w:val="24"/>
                </w:rPr>
                <w:t xml:space="preserve">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г. Канаш</w:t>
            </w:r>
          </w:p>
        </w:tc>
      </w:tr>
      <w:tr w:rsidR="001D4ADC" w:rsidRPr="00B61D86" w:rsidTr="009A307B">
        <w:trPr>
          <w:trHeight w:val="28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7</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43" w:history="1">
              <w:r w:rsidR="001D4ADC" w:rsidRPr="00B61D86">
                <w:rPr>
                  <w:rFonts w:eastAsia="Times New Roman"/>
                  <w:color w:val="000000"/>
                  <w:sz w:val="24"/>
                  <w:szCs w:val="24"/>
                </w:rPr>
                <w:t>Козловский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 xml:space="preserve">г. </w:t>
            </w:r>
            <w:proofErr w:type="spellStart"/>
            <w:r w:rsidRPr="00B61D86">
              <w:rPr>
                <w:rFonts w:eastAsia="Times New Roman"/>
                <w:color w:val="000000"/>
                <w:sz w:val="24"/>
                <w:szCs w:val="24"/>
              </w:rPr>
              <w:t>Козловка</w:t>
            </w:r>
            <w:proofErr w:type="spellEnd"/>
          </w:p>
        </w:tc>
      </w:tr>
      <w:tr w:rsidR="001D4ADC" w:rsidRPr="00B61D86" w:rsidTr="009A307B">
        <w:trPr>
          <w:trHeight w:val="40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8</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44" w:history="1">
              <w:r w:rsidR="001D4ADC" w:rsidRPr="00B61D86">
                <w:rPr>
                  <w:rFonts w:eastAsia="Times New Roman"/>
                  <w:color w:val="000000"/>
                  <w:sz w:val="24"/>
                  <w:szCs w:val="24"/>
                </w:rPr>
                <w:t>Комсомольский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с. Комсомольское</w:t>
            </w:r>
          </w:p>
        </w:tc>
      </w:tr>
      <w:tr w:rsidR="001D4ADC" w:rsidRPr="00B61D86" w:rsidTr="009A307B">
        <w:trPr>
          <w:trHeight w:val="40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9</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45" w:history="1">
              <w:r w:rsidR="001D4ADC" w:rsidRPr="00B61D86">
                <w:rPr>
                  <w:rFonts w:eastAsia="Times New Roman"/>
                  <w:color w:val="000000"/>
                  <w:sz w:val="24"/>
                  <w:szCs w:val="24"/>
                </w:rPr>
                <w:t>Красноармейский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с. Красноармейское</w:t>
            </w:r>
          </w:p>
        </w:tc>
      </w:tr>
      <w:tr w:rsidR="001D4ADC" w:rsidRPr="00B61D86" w:rsidTr="009A307B">
        <w:trPr>
          <w:trHeight w:val="40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10</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46" w:history="1">
              <w:proofErr w:type="spellStart"/>
              <w:r w:rsidR="001D4ADC" w:rsidRPr="00B61D86">
                <w:rPr>
                  <w:rFonts w:eastAsia="Times New Roman"/>
                  <w:color w:val="000000"/>
                  <w:sz w:val="24"/>
                  <w:szCs w:val="24"/>
                </w:rPr>
                <w:t>Красночетайский</w:t>
              </w:r>
              <w:proofErr w:type="spellEnd"/>
              <w:r w:rsidR="001D4ADC" w:rsidRPr="00B61D86">
                <w:rPr>
                  <w:rFonts w:eastAsia="Times New Roman"/>
                  <w:color w:val="000000"/>
                  <w:sz w:val="24"/>
                  <w:szCs w:val="24"/>
                </w:rPr>
                <w:t xml:space="preserve">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proofErr w:type="gramStart"/>
            <w:r w:rsidRPr="00B61D86">
              <w:rPr>
                <w:rFonts w:eastAsia="Times New Roman"/>
                <w:color w:val="000000"/>
                <w:sz w:val="24"/>
                <w:szCs w:val="24"/>
              </w:rPr>
              <w:t>с</w:t>
            </w:r>
            <w:proofErr w:type="gramEnd"/>
            <w:r w:rsidRPr="00B61D86">
              <w:rPr>
                <w:rFonts w:eastAsia="Times New Roman"/>
                <w:color w:val="000000"/>
                <w:sz w:val="24"/>
                <w:szCs w:val="24"/>
              </w:rPr>
              <w:t xml:space="preserve">. Красные </w:t>
            </w:r>
            <w:proofErr w:type="spellStart"/>
            <w:r w:rsidRPr="00B61D86">
              <w:rPr>
                <w:rFonts w:eastAsia="Times New Roman"/>
                <w:color w:val="000000"/>
                <w:sz w:val="24"/>
                <w:szCs w:val="24"/>
              </w:rPr>
              <w:t>Четаи</w:t>
            </w:r>
            <w:proofErr w:type="spellEnd"/>
          </w:p>
        </w:tc>
      </w:tr>
      <w:tr w:rsidR="001D4ADC" w:rsidRPr="00B61D86" w:rsidTr="009A307B">
        <w:trPr>
          <w:trHeight w:val="40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11</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47" w:history="1">
              <w:r w:rsidR="001D4ADC" w:rsidRPr="00B61D86">
                <w:rPr>
                  <w:rFonts w:eastAsia="Times New Roman"/>
                  <w:color w:val="000000"/>
                  <w:sz w:val="24"/>
                  <w:szCs w:val="24"/>
                </w:rPr>
                <w:t>Мариинско-Посадский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г. Мариинский Посад</w:t>
            </w:r>
          </w:p>
        </w:tc>
      </w:tr>
      <w:tr w:rsidR="001D4ADC" w:rsidRPr="00B61D86" w:rsidTr="009A307B">
        <w:trPr>
          <w:trHeight w:val="28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12</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48" w:history="1">
              <w:proofErr w:type="spellStart"/>
              <w:r w:rsidR="001D4ADC" w:rsidRPr="00B61D86">
                <w:rPr>
                  <w:rFonts w:eastAsia="Times New Roman"/>
                  <w:color w:val="000000"/>
                  <w:sz w:val="24"/>
                  <w:szCs w:val="24"/>
                </w:rPr>
                <w:t>Моргаушский</w:t>
              </w:r>
              <w:proofErr w:type="spellEnd"/>
              <w:r w:rsidR="001D4ADC" w:rsidRPr="00B61D86">
                <w:rPr>
                  <w:rFonts w:eastAsia="Times New Roman"/>
                  <w:color w:val="000000"/>
                  <w:sz w:val="24"/>
                  <w:szCs w:val="24"/>
                </w:rPr>
                <w:t xml:space="preserve">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с. Моргауши</w:t>
            </w:r>
          </w:p>
        </w:tc>
      </w:tr>
      <w:tr w:rsidR="001D4ADC" w:rsidRPr="00B61D86" w:rsidTr="009A307B">
        <w:trPr>
          <w:trHeight w:val="28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13</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49" w:history="1">
              <w:proofErr w:type="spellStart"/>
              <w:r w:rsidR="001D4ADC" w:rsidRPr="00B61D86">
                <w:rPr>
                  <w:rFonts w:eastAsia="Times New Roman"/>
                  <w:color w:val="000000"/>
                  <w:sz w:val="24"/>
                  <w:szCs w:val="24"/>
                </w:rPr>
                <w:t>Порецкий</w:t>
              </w:r>
              <w:proofErr w:type="spellEnd"/>
              <w:r w:rsidR="001D4ADC" w:rsidRPr="00B61D86">
                <w:rPr>
                  <w:rFonts w:eastAsia="Times New Roman"/>
                  <w:color w:val="000000"/>
                  <w:sz w:val="24"/>
                  <w:szCs w:val="24"/>
                </w:rPr>
                <w:t xml:space="preserve">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с. Порецкое</w:t>
            </w:r>
          </w:p>
        </w:tc>
      </w:tr>
      <w:tr w:rsidR="001D4ADC" w:rsidRPr="00B61D86" w:rsidTr="009A307B">
        <w:trPr>
          <w:trHeight w:val="28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14</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50" w:history="1">
              <w:proofErr w:type="spellStart"/>
              <w:r w:rsidR="001D4ADC" w:rsidRPr="00B61D86">
                <w:rPr>
                  <w:rFonts w:eastAsia="Times New Roman"/>
                  <w:color w:val="000000"/>
                  <w:sz w:val="24"/>
                  <w:szCs w:val="24"/>
                </w:rPr>
                <w:t>Урмарский</w:t>
              </w:r>
              <w:proofErr w:type="spellEnd"/>
              <w:r w:rsidR="001D4ADC" w:rsidRPr="00B61D86">
                <w:rPr>
                  <w:rFonts w:eastAsia="Times New Roman"/>
                  <w:color w:val="000000"/>
                  <w:sz w:val="24"/>
                  <w:szCs w:val="24"/>
                </w:rPr>
                <w:t xml:space="preserve">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с. Урмары</w:t>
            </w:r>
          </w:p>
        </w:tc>
      </w:tr>
      <w:tr w:rsidR="001D4ADC" w:rsidRPr="00B61D86" w:rsidTr="009A307B">
        <w:trPr>
          <w:trHeight w:val="28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15</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51" w:history="1">
              <w:proofErr w:type="spellStart"/>
              <w:r w:rsidR="001D4ADC" w:rsidRPr="00B61D86">
                <w:rPr>
                  <w:rFonts w:eastAsia="Times New Roman"/>
                  <w:color w:val="000000"/>
                  <w:sz w:val="24"/>
                  <w:szCs w:val="24"/>
                </w:rPr>
                <w:t>Цивильский</w:t>
              </w:r>
              <w:proofErr w:type="spellEnd"/>
              <w:r w:rsidR="001D4ADC" w:rsidRPr="00B61D86">
                <w:rPr>
                  <w:rFonts w:eastAsia="Times New Roman"/>
                  <w:color w:val="000000"/>
                  <w:sz w:val="24"/>
                  <w:szCs w:val="24"/>
                </w:rPr>
                <w:t xml:space="preserve">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г. Цивильск</w:t>
            </w:r>
          </w:p>
        </w:tc>
      </w:tr>
      <w:tr w:rsidR="001D4ADC" w:rsidRPr="00B61D86" w:rsidTr="009A307B">
        <w:trPr>
          <w:trHeight w:val="40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16</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52" w:history="1">
              <w:proofErr w:type="spellStart"/>
              <w:r w:rsidR="001D4ADC" w:rsidRPr="00B61D86">
                <w:rPr>
                  <w:rFonts w:eastAsia="Times New Roman"/>
                  <w:color w:val="000000"/>
                  <w:sz w:val="24"/>
                  <w:szCs w:val="24"/>
                </w:rPr>
                <w:t>Шемуршинский</w:t>
              </w:r>
              <w:proofErr w:type="spellEnd"/>
              <w:r w:rsidR="001D4ADC" w:rsidRPr="00B61D86">
                <w:rPr>
                  <w:rFonts w:eastAsia="Times New Roman"/>
                  <w:color w:val="000000"/>
                  <w:sz w:val="24"/>
                  <w:szCs w:val="24"/>
                </w:rPr>
                <w:t xml:space="preserve">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proofErr w:type="gramStart"/>
            <w:r w:rsidRPr="00B61D86">
              <w:rPr>
                <w:rFonts w:eastAsia="Times New Roman"/>
                <w:color w:val="000000"/>
                <w:sz w:val="24"/>
                <w:szCs w:val="24"/>
              </w:rPr>
              <w:t>с</w:t>
            </w:r>
            <w:proofErr w:type="gramEnd"/>
            <w:r w:rsidRPr="00B61D86">
              <w:rPr>
                <w:rFonts w:eastAsia="Times New Roman"/>
                <w:color w:val="000000"/>
                <w:sz w:val="24"/>
                <w:szCs w:val="24"/>
              </w:rPr>
              <w:t>. Шемурша</w:t>
            </w:r>
          </w:p>
        </w:tc>
      </w:tr>
      <w:tr w:rsidR="001D4ADC" w:rsidRPr="00B61D86" w:rsidTr="009A307B">
        <w:trPr>
          <w:trHeight w:val="40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17</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53" w:history="1">
              <w:r w:rsidR="001D4ADC" w:rsidRPr="00B61D86">
                <w:rPr>
                  <w:rFonts w:eastAsia="Times New Roman"/>
                  <w:color w:val="000000"/>
                  <w:sz w:val="24"/>
                  <w:szCs w:val="24"/>
                </w:rPr>
                <w:t>Шумерлинский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г. Шумерля</w:t>
            </w:r>
          </w:p>
        </w:tc>
      </w:tr>
      <w:tr w:rsidR="001D4ADC" w:rsidRPr="00B61D86" w:rsidTr="009A307B">
        <w:trPr>
          <w:trHeight w:val="28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18</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54" w:history="1">
              <w:proofErr w:type="spellStart"/>
              <w:r w:rsidR="001D4ADC" w:rsidRPr="00B61D86">
                <w:rPr>
                  <w:rFonts w:eastAsia="Times New Roman"/>
                  <w:color w:val="000000"/>
                  <w:sz w:val="24"/>
                  <w:szCs w:val="24"/>
                </w:rPr>
                <w:t>Ядринский</w:t>
              </w:r>
              <w:proofErr w:type="spellEnd"/>
              <w:r w:rsidR="001D4ADC" w:rsidRPr="00B61D86">
                <w:rPr>
                  <w:rFonts w:eastAsia="Times New Roman"/>
                  <w:color w:val="000000"/>
                  <w:sz w:val="24"/>
                  <w:szCs w:val="24"/>
                </w:rPr>
                <w:t xml:space="preserve">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г. Ядрин</w:t>
            </w:r>
          </w:p>
        </w:tc>
      </w:tr>
      <w:tr w:rsidR="001D4ADC" w:rsidRPr="00B61D86" w:rsidTr="009A307B">
        <w:trPr>
          <w:trHeight w:val="28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19</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55" w:history="1">
              <w:proofErr w:type="spellStart"/>
              <w:r w:rsidR="001D4ADC" w:rsidRPr="00B61D86">
                <w:rPr>
                  <w:rFonts w:eastAsia="Times New Roman"/>
                  <w:color w:val="000000"/>
                  <w:sz w:val="24"/>
                  <w:szCs w:val="24"/>
                </w:rPr>
                <w:t>Яльчикский</w:t>
              </w:r>
              <w:proofErr w:type="spellEnd"/>
              <w:r w:rsidR="001D4ADC" w:rsidRPr="00B61D86">
                <w:rPr>
                  <w:rFonts w:eastAsia="Times New Roman"/>
                  <w:color w:val="000000"/>
                  <w:sz w:val="24"/>
                  <w:szCs w:val="24"/>
                </w:rPr>
                <w:t xml:space="preserve">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с. Яльчики</w:t>
            </w:r>
          </w:p>
        </w:tc>
      </w:tr>
      <w:tr w:rsidR="001D4ADC" w:rsidRPr="00B61D86" w:rsidTr="009A307B">
        <w:trPr>
          <w:trHeight w:val="288"/>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20</w:t>
            </w:r>
          </w:p>
        </w:tc>
        <w:tc>
          <w:tcPr>
            <w:tcW w:w="2320" w:type="dxa"/>
            <w:tcBorders>
              <w:top w:val="nil"/>
              <w:left w:val="nil"/>
              <w:bottom w:val="single" w:sz="4" w:space="0" w:color="auto"/>
              <w:right w:val="single" w:sz="4" w:space="0" w:color="auto"/>
            </w:tcBorders>
            <w:shd w:val="clear" w:color="000000" w:fill="FFFFFF"/>
            <w:vAlign w:val="center"/>
            <w:hideMark/>
          </w:tcPr>
          <w:p w:rsidR="001D4ADC" w:rsidRPr="00B61D86" w:rsidRDefault="007B6610" w:rsidP="00D34D11">
            <w:pPr>
              <w:widowControl/>
              <w:autoSpaceDE/>
              <w:autoSpaceDN/>
              <w:adjustRightInd/>
              <w:rPr>
                <w:rFonts w:eastAsia="Times New Roman"/>
                <w:color w:val="000000"/>
                <w:sz w:val="24"/>
                <w:szCs w:val="24"/>
              </w:rPr>
            </w:pPr>
            <w:hyperlink r:id="rId56" w:history="1">
              <w:proofErr w:type="spellStart"/>
              <w:r w:rsidR="001D4ADC" w:rsidRPr="00B61D86">
                <w:rPr>
                  <w:rFonts w:eastAsia="Times New Roman"/>
                  <w:color w:val="000000"/>
                  <w:sz w:val="24"/>
                  <w:szCs w:val="24"/>
                </w:rPr>
                <w:t>Янтиковский</w:t>
              </w:r>
              <w:proofErr w:type="spellEnd"/>
              <w:r w:rsidR="001D4ADC" w:rsidRPr="00B61D86">
                <w:rPr>
                  <w:rFonts w:eastAsia="Times New Roman"/>
                  <w:color w:val="000000"/>
                  <w:sz w:val="24"/>
                  <w:szCs w:val="24"/>
                </w:rPr>
                <w:t xml:space="preserve"> район</w:t>
              </w:r>
            </w:hyperlink>
          </w:p>
        </w:tc>
        <w:tc>
          <w:tcPr>
            <w:tcW w:w="1520" w:type="dxa"/>
            <w:tcBorders>
              <w:top w:val="nil"/>
              <w:left w:val="nil"/>
              <w:bottom w:val="single" w:sz="4" w:space="0" w:color="auto"/>
              <w:right w:val="single" w:sz="4" w:space="0" w:color="auto"/>
            </w:tcBorders>
            <w:shd w:val="clear" w:color="000000" w:fill="FFFFFF"/>
            <w:vAlign w:val="center"/>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с. Янтиково</w:t>
            </w:r>
          </w:p>
        </w:tc>
      </w:tr>
      <w:tr w:rsidR="001D4ADC" w:rsidRPr="00B61D86" w:rsidTr="009A307B">
        <w:trPr>
          <w:trHeight w:val="636"/>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jc w:val="right"/>
              <w:rPr>
                <w:rFonts w:eastAsia="Times New Roman"/>
                <w:color w:val="000000"/>
                <w:sz w:val="24"/>
                <w:szCs w:val="24"/>
              </w:rPr>
            </w:pPr>
            <w:r w:rsidRPr="00B61D86">
              <w:rPr>
                <w:rFonts w:eastAsia="Times New Roman"/>
                <w:color w:val="000000"/>
                <w:sz w:val="24"/>
                <w:szCs w:val="24"/>
              </w:rPr>
              <w:t>21</w:t>
            </w:r>
          </w:p>
        </w:tc>
        <w:tc>
          <w:tcPr>
            <w:tcW w:w="2320" w:type="dxa"/>
            <w:tcBorders>
              <w:top w:val="nil"/>
              <w:left w:val="nil"/>
              <w:bottom w:val="single" w:sz="4" w:space="0" w:color="auto"/>
              <w:right w:val="single" w:sz="4" w:space="0" w:color="auto"/>
            </w:tcBorders>
            <w:shd w:val="clear" w:color="auto" w:fill="auto"/>
            <w:vAlign w:val="bottom"/>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г. Чебоксары, г. Новочебоксарск, Чебоксарский район</w:t>
            </w:r>
          </w:p>
        </w:tc>
        <w:tc>
          <w:tcPr>
            <w:tcW w:w="1520" w:type="dxa"/>
            <w:tcBorders>
              <w:top w:val="nil"/>
              <w:left w:val="nil"/>
              <w:bottom w:val="single" w:sz="4" w:space="0" w:color="auto"/>
              <w:right w:val="single" w:sz="4" w:space="0" w:color="auto"/>
            </w:tcBorders>
            <w:shd w:val="clear" w:color="auto" w:fill="auto"/>
            <w:noWrap/>
            <w:vAlign w:val="bottom"/>
            <w:hideMark/>
          </w:tcPr>
          <w:p w:rsidR="001D4ADC" w:rsidRPr="00B61D86" w:rsidRDefault="001D4ADC" w:rsidP="00D34D11">
            <w:pPr>
              <w:widowControl/>
              <w:autoSpaceDE/>
              <w:autoSpaceDN/>
              <w:adjustRightInd/>
              <w:rPr>
                <w:rFonts w:eastAsia="Times New Roman"/>
                <w:color w:val="000000"/>
                <w:sz w:val="24"/>
                <w:szCs w:val="24"/>
              </w:rPr>
            </w:pPr>
            <w:r w:rsidRPr="00B61D86">
              <w:rPr>
                <w:rFonts w:eastAsia="Times New Roman"/>
                <w:color w:val="000000"/>
                <w:sz w:val="24"/>
                <w:szCs w:val="24"/>
              </w:rPr>
              <w:t> </w:t>
            </w:r>
          </w:p>
        </w:tc>
      </w:tr>
    </w:tbl>
    <w:p w:rsidR="001D4ADC" w:rsidRPr="00B61D86" w:rsidRDefault="001D4ADC" w:rsidP="001D4ADC">
      <w:pPr>
        <w:shd w:val="clear" w:color="auto" w:fill="FFFFFF"/>
        <w:tabs>
          <w:tab w:val="left" w:pos="3200"/>
        </w:tabs>
        <w:spacing w:before="324" w:line="302" w:lineRule="exact"/>
        <w:ind w:left="2567"/>
        <w:rPr>
          <w:sz w:val="24"/>
          <w:szCs w:val="24"/>
        </w:rPr>
      </w:pPr>
      <w:r w:rsidRPr="00B61D86">
        <w:rPr>
          <w:b/>
          <w:bCs/>
          <w:color w:val="000000"/>
          <w:spacing w:val="-7"/>
          <w:sz w:val="24"/>
          <w:szCs w:val="24"/>
          <w:lang w:val="en-US"/>
        </w:rPr>
        <w:t>V</w:t>
      </w:r>
      <w:r w:rsidRPr="00B61D86">
        <w:rPr>
          <w:b/>
          <w:bCs/>
          <w:color w:val="000000"/>
          <w:spacing w:val="-7"/>
          <w:sz w:val="24"/>
          <w:szCs w:val="24"/>
        </w:rPr>
        <w:t>.</w:t>
      </w:r>
      <w:r w:rsidRPr="00B61D86">
        <w:rPr>
          <w:b/>
          <w:bCs/>
          <w:color w:val="000000"/>
          <w:sz w:val="24"/>
          <w:szCs w:val="24"/>
        </w:rPr>
        <w:tab/>
      </w:r>
      <w:r w:rsidRPr="00B61D86">
        <w:rPr>
          <w:rFonts w:eastAsia="Times New Roman"/>
          <w:b/>
          <w:bCs/>
          <w:color w:val="000000"/>
          <w:spacing w:val="-1"/>
          <w:sz w:val="24"/>
          <w:szCs w:val="24"/>
        </w:rPr>
        <w:t>Состав хозяйствующих субъектов</w:t>
      </w:r>
    </w:p>
    <w:p w:rsidR="001D4ADC" w:rsidRPr="00B61D86" w:rsidRDefault="001D4ADC" w:rsidP="001D4ADC">
      <w:pPr>
        <w:ind w:firstLine="720"/>
        <w:jc w:val="both"/>
        <w:rPr>
          <w:sz w:val="24"/>
          <w:szCs w:val="24"/>
        </w:rPr>
      </w:pPr>
      <w:r w:rsidRPr="00B61D86">
        <w:rPr>
          <w:rFonts w:eastAsia="Times New Roman"/>
          <w:color w:val="000000"/>
          <w:spacing w:val="-6"/>
          <w:sz w:val="24"/>
          <w:szCs w:val="24"/>
        </w:rPr>
        <w:t xml:space="preserve">   </w:t>
      </w:r>
      <w:r w:rsidRPr="00B61D86">
        <w:rPr>
          <w:sz w:val="24"/>
          <w:szCs w:val="24"/>
        </w:rPr>
        <w:t xml:space="preserve">Продавцами   на   розничных   рынках   автомобильных   бензинов   являются  хозяйствующие субъекты, осуществляющие деятельность по розничной торговле автомобильными     бензинами     на     АЗС     единичным     количеством     товара (автомобильного бензина) преимущественно для личного использования. </w:t>
      </w:r>
    </w:p>
    <w:p w:rsidR="001D4ADC" w:rsidRPr="00B61D86" w:rsidRDefault="001D4ADC" w:rsidP="001D4ADC">
      <w:pPr>
        <w:ind w:firstLine="720"/>
        <w:jc w:val="both"/>
        <w:rPr>
          <w:sz w:val="24"/>
          <w:szCs w:val="24"/>
        </w:rPr>
      </w:pPr>
      <w:r w:rsidRPr="00B61D86">
        <w:rPr>
          <w:sz w:val="24"/>
          <w:szCs w:val="24"/>
        </w:rPr>
        <w:t xml:space="preserve">  Покупателями  на розничных  рынках  автомобильных  бензинов  являются физические   и   </w:t>
      </w:r>
      <w:r w:rsidRPr="00B61D86">
        <w:rPr>
          <w:sz w:val="24"/>
          <w:szCs w:val="24"/>
        </w:rPr>
        <w:lastRenderedPageBreak/>
        <w:t>юридические   лица,   приобретающие   автомобильные   бензины единичного количества преимущественно для личного использования.</w:t>
      </w:r>
    </w:p>
    <w:p w:rsidR="001D4ADC" w:rsidRPr="00B61D86" w:rsidRDefault="001D4ADC" w:rsidP="001D4ADC">
      <w:pPr>
        <w:ind w:firstLine="720"/>
        <w:jc w:val="both"/>
        <w:rPr>
          <w:sz w:val="24"/>
          <w:szCs w:val="24"/>
        </w:rPr>
      </w:pPr>
      <w:r w:rsidRPr="00B61D86">
        <w:rPr>
          <w:sz w:val="24"/>
          <w:szCs w:val="24"/>
        </w:rPr>
        <w:t xml:space="preserve"> При   выявлении   </w:t>
      </w:r>
      <w:proofErr w:type="gramStart"/>
      <w:r w:rsidRPr="00B61D86">
        <w:rPr>
          <w:sz w:val="24"/>
          <w:szCs w:val="24"/>
        </w:rPr>
        <w:t>хозяйствующих   субъектов,   действующих   на   розничных рынках автомобильных бензинов управление руководствовалось</w:t>
      </w:r>
      <w:proofErr w:type="gramEnd"/>
      <w:r w:rsidRPr="00B61D86">
        <w:rPr>
          <w:sz w:val="24"/>
          <w:szCs w:val="24"/>
        </w:rPr>
        <w:t xml:space="preserve"> пунктом 5.2 Порядка.</w:t>
      </w:r>
    </w:p>
    <w:p w:rsidR="001D4ADC" w:rsidRPr="00B61D86" w:rsidRDefault="001D4ADC" w:rsidP="001D4ADC">
      <w:pPr>
        <w:ind w:firstLine="720"/>
        <w:jc w:val="both"/>
        <w:rPr>
          <w:sz w:val="24"/>
          <w:szCs w:val="24"/>
        </w:rPr>
      </w:pPr>
      <w:r w:rsidRPr="00B61D86">
        <w:rPr>
          <w:sz w:val="24"/>
          <w:szCs w:val="24"/>
        </w:rPr>
        <w:t xml:space="preserve"> Перечень </w:t>
      </w:r>
      <w:proofErr w:type="spellStart"/>
      <w:r w:rsidRPr="00B61D86">
        <w:rPr>
          <w:sz w:val="24"/>
          <w:szCs w:val="24"/>
        </w:rPr>
        <w:t>хозсубъектов</w:t>
      </w:r>
      <w:proofErr w:type="spellEnd"/>
      <w:r w:rsidRPr="00B61D86">
        <w:rPr>
          <w:sz w:val="24"/>
          <w:szCs w:val="24"/>
        </w:rPr>
        <w:t xml:space="preserve"> действующий на данн</w:t>
      </w:r>
      <w:r w:rsidR="003F5048" w:rsidRPr="00B61D86">
        <w:rPr>
          <w:sz w:val="24"/>
          <w:szCs w:val="24"/>
        </w:rPr>
        <w:t>ом рынке представлен в таблице 4</w:t>
      </w:r>
      <w:r w:rsidRPr="00B61D86">
        <w:rPr>
          <w:sz w:val="24"/>
          <w:szCs w:val="24"/>
        </w:rPr>
        <w:t>.</w:t>
      </w:r>
    </w:p>
    <w:p w:rsidR="001D4ADC" w:rsidRPr="00B61D86" w:rsidRDefault="001D4ADC" w:rsidP="001D4ADC">
      <w:pPr>
        <w:shd w:val="clear" w:color="auto" w:fill="FFFFFF"/>
        <w:tabs>
          <w:tab w:val="left" w:pos="688"/>
        </w:tabs>
        <w:spacing w:line="302" w:lineRule="exact"/>
        <w:jc w:val="both"/>
        <w:rPr>
          <w:rFonts w:eastAsia="Times New Roman"/>
          <w:color w:val="000000"/>
          <w:spacing w:val="-5"/>
          <w:sz w:val="24"/>
          <w:szCs w:val="24"/>
        </w:rPr>
      </w:pPr>
    </w:p>
    <w:p w:rsidR="001D4ADC" w:rsidRPr="00B61D86" w:rsidRDefault="001D4ADC" w:rsidP="002A4A29">
      <w:pPr>
        <w:shd w:val="clear" w:color="auto" w:fill="FFFFFF"/>
        <w:tabs>
          <w:tab w:val="left" w:pos="7572"/>
        </w:tabs>
        <w:spacing w:line="302" w:lineRule="exact"/>
        <w:jc w:val="both"/>
        <w:rPr>
          <w:sz w:val="24"/>
          <w:szCs w:val="24"/>
        </w:rPr>
      </w:pPr>
      <w:r w:rsidRPr="00B61D86">
        <w:rPr>
          <w:color w:val="000000"/>
          <w:spacing w:val="-17"/>
          <w:sz w:val="24"/>
          <w:szCs w:val="24"/>
        </w:rPr>
        <w:tab/>
        <w:t xml:space="preserve">         </w:t>
      </w:r>
      <w:r w:rsidR="003F5048" w:rsidRPr="00B61D86">
        <w:rPr>
          <w:color w:val="000000"/>
          <w:spacing w:val="-17"/>
          <w:sz w:val="24"/>
          <w:szCs w:val="24"/>
        </w:rPr>
        <w:t xml:space="preserve">   </w:t>
      </w:r>
      <w:r w:rsidR="002A4A29">
        <w:rPr>
          <w:color w:val="000000"/>
          <w:spacing w:val="-17"/>
          <w:sz w:val="24"/>
          <w:szCs w:val="24"/>
        </w:rPr>
        <w:t>…</w:t>
      </w:r>
    </w:p>
    <w:p w:rsidR="001D4ADC" w:rsidRPr="00B61D86" w:rsidRDefault="001D4ADC" w:rsidP="001D4ADC">
      <w:pPr>
        <w:shd w:val="clear" w:color="auto" w:fill="FFFFFF"/>
        <w:spacing w:line="306" w:lineRule="exact"/>
        <w:ind w:left="2232" w:right="2214"/>
        <w:jc w:val="center"/>
        <w:rPr>
          <w:rFonts w:eastAsia="Times New Roman"/>
          <w:b/>
          <w:bCs/>
          <w:color w:val="000000"/>
          <w:spacing w:val="-8"/>
          <w:sz w:val="24"/>
          <w:szCs w:val="24"/>
        </w:rPr>
      </w:pPr>
      <w:r w:rsidRPr="00B61D86">
        <w:rPr>
          <w:b/>
          <w:bCs/>
          <w:color w:val="000000"/>
          <w:spacing w:val="-4"/>
          <w:sz w:val="24"/>
          <w:szCs w:val="24"/>
          <w:lang w:val="en-US"/>
        </w:rPr>
        <w:t>VI</w:t>
      </w:r>
      <w:r w:rsidRPr="00B61D86">
        <w:rPr>
          <w:b/>
          <w:bCs/>
          <w:color w:val="000000"/>
          <w:spacing w:val="-4"/>
          <w:sz w:val="24"/>
          <w:szCs w:val="24"/>
        </w:rPr>
        <w:t xml:space="preserve">.   </w:t>
      </w:r>
      <w:r w:rsidRPr="00B61D86">
        <w:rPr>
          <w:rFonts w:eastAsia="Times New Roman"/>
          <w:b/>
          <w:bCs/>
          <w:color w:val="000000"/>
          <w:spacing w:val="-4"/>
          <w:sz w:val="24"/>
          <w:szCs w:val="24"/>
        </w:rPr>
        <w:t xml:space="preserve">Расчет объема товарного рынка </w:t>
      </w:r>
      <w:r w:rsidRPr="00B61D86">
        <w:rPr>
          <w:rFonts w:eastAsia="Times New Roman"/>
          <w:b/>
          <w:bCs/>
          <w:color w:val="000000"/>
          <w:spacing w:val="-8"/>
          <w:sz w:val="24"/>
          <w:szCs w:val="24"/>
        </w:rPr>
        <w:t>и долей хозяйствующих субъектов на рынке и определение уровня концентрации товарного рынка</w:t>
      </w:r>
    </w:p>
    <w:p w:rsidR="003F5048" w:rsidRPr="00B61D86" w:rsidRDefault="003F5048" w:rsidP="001D4ADC">
      <w:pPr>
        <w:shd w:val="clear" w:color="auto" w:fill="FFFFFF"/>
        <w:spacing w:line="306" w:lineRule="exact"/>
        <w:ind w:left="2232" w:right="2214"/>
        <w:jc w:val="center"/>
        <w:rPr>
          <w:sz w:val="24"/>
          <w:szCs w:val="24"/>
        </w:rPr>
      </w:pPr>
    </w:p>
    <w:p w:rsidR="001D4ADC" w:rsidRPr="00B61D86" w:rsidRDefault="001D4ADC" w:rsidP="001D4ADC">
      <w:pPr>
        <w:ind w:firstLine="720"/>
        <w:jc w:val="both"/>
        <w:rPr>
          <w:sz w:val="24"/>
          <w:szCs w:val="24"/>
        </w:rPr>
      </w:pPr>
      <w:r w:rsidRPr="00B61D86">
        <w:rPr>
          <w:sz w:val="24"/>
          <w:szCs w:val="24"/>
        </w:rPr>
        <w:t xml:space="preserve"> Доля хозяйствующего субъекта на розничном рынке автомобильных бензинов рассчитывается как выраженное в процентах отношение показателя, характеризующего объем товарной массы, реализуемой данным хозяйствующим субъектом на исследуемый товарный рынок, к показателю, характеризующему объем рассматриваемого товарного рынка.</w:t>
      </w:r>
    </w:p>
    <w:p w:rsidR="001D4ADC" w:rsidRPr="00B61D86" w:rsidRDefault="001D4ADC" w:rsidP="001D4ADC">
      <w:pPr>
        <w:ind w:firstLine="720"/>
        <w:jc w:val="both"/>
        <w:rPr>
          <w:sz w:val="24"/>
          <w:szCs w:val="24"/>
        </w:rPr>
      </w:pPr>
      <w:r w:rsidRPr="00B61D86">
        <w:rPr>
          <w:sz w:val="24"/>
          <w:szCs w:val="24"/>
        </w:rPr>
        <w:t xml:space="preserve">С целью оценки концентрации рынка использован коэффициенты СR и </w:t>
      </w:r>
      <w:proofErr w:type="gramStart"/>
      <w:r w:rsidRPr="00B61D86">
        <w:rPr>
          <w:sz w:val="24"/>
          <w:szCs w:val="24"/>
        </w:rPr>
        <w:t>Н</w:t>
      </w:r>
      <w:proofErr w:type="gramEnd"/>
      <w:r w:rsidRPr="00B61D86">
        <w:rPr>
          <w:sz w:val="24"/>
          <w:szCs w:val="24"/>
        </w:rPr>
        <w:t>HI.</w:t>
      </w:r>
    </w:p>
    <w:p w:rsidR="001D4ADC" w:rsidRPr="00B61D86" w:rsidRDefault="001D4ADC" w:rsidP="001D4ADC">
      <w:pPr>
        <w:ind w:firstLine="720"/>
        <w:jc w:val="both"/>
        <w:rPr>
          <w:sz w:val="24"/>
          <w:szCs w:val="24"/>
        </w:rPr>
      </w:pPr>
      <w:r w:rsidRPr="00B61D86">
        <w:rPr>
          <w:sz w:val="24"/>
          <w:szCs w:val="24"/>
        </w:rPr>
        <w:t xml:space="preserve">Доли </w:t>
      </w:r>
      <w:proofErr w:type="spellStart"/>
      <w:r w:rsidRPr="00B61D86">
        <w:rPr>
          <w:sz w:val="24"/>
          <w:szCs w:val="24"/>
        </w:rPr>
        <w:t>хозсубъект</w:t>
      </w:r>
      <w:r w:rsidR="00965D73" w:rsidRPr="00B61D86">
        <w:rPr>
          <w:sz w:val="24"/>
          <w:szCs w:val="24"/>
        </w:rPr>
        <w:t>ов</w:t>
      </w:r>
      <w:proofErr w:type="spellEnd"/>
      <w:r w:rsidRPr="00B61D86">
        <w:rPr>
          <w:sz w:val="24"/>
          <w:szCs w:val="24"/>
        </w:rPr>
        <w:t xml:space="preserve"> на рынке и уровень концентрации представлены в приложение 1.</w:t>
      </w:r>
    </w:p>
    <w:p w:rsidR="00C87C36" w:rsidRPr="00B61D86" w:rsidRDefault="00C87C36" w:rsidP="00E05672">
      <w:pPr>
        <w:ind w:firstLine="720"/>
        <w:jc w:val="both"/>
        <w:rPr>
          <w:sz w:val="24"/>
          <w:szCs w:val="24"/>
        </w:rPr>
      </w:pPr>
    </w:p>
    <w:p w:rsidR="001D4ADC" w:rsidRPr="00B61D86" w:rsidRDefault="001D4ADC" w:rsidP="003F5048">
      <w:pPr>
        <w:shd w:val="clear" w:color="auto" w:fill="FFFFFF"/>
        <w:spacing w:line="306" w:lineRule="exact"/>
        <w:ind w:left="1343"/>
        <w:jc w:val="center"/>
        <w:rPr>
          <w:rFonts w:eastAsia="Times New Roman"/>
          <w:b/>
          <w:bCs/>
          <w:color w:val="000000"/>
          <w:spacing w:val="-5"/>
          <w:sz w:val="24"/>
          <w:szCs w:val="24"/>
        </w:rPr>
      </w:pPr>
      <w:r w:rsidRPr="00B61D86">
        <w:rPr>
          <w:b/>
          <w:bCs/>
          <w:color w:val="000000"/>
          <w:spacing w:val="-5"/>
          <w:sz w:val="24"/>
          <w:szCs w:val="24"/>
          <w:lang w:val="en-US"/>
        </w:rPr>
        <w:t>VII</w:t>
      </w:r>
      <w:r w:rsidRPr="00B61D86">
        <w:rPr>
          <w:b/>
          <w:bCs/>
          <w:color w:val="000000"/>
          <w:spacing w:val="-5"/>
          <w:sz w:val="24"/>
          <w:szCs w:val="24"/>
        </w:rPr>
        <w:t xml:space="preserve">.     </w:t>
      </w:r>
      <w:r w:rsidRPr="00B61D86">
        <w:rPr>
          <w:rFonts w:eastAsia="Times New Roman"/>
          <w:b/>
          <w:bCs/>
          <w:color w:val="000000"/>
          <w:spacing w:val="-5"/>
          <w:sz w:val="24"/>
          <w:szCs w:val="24"/>
        </w:rPr>
        <w:t>Определение барьеров входа на товарный рынок</w:t>
      </w:r>
    </w:p>
    <w:p w:rsidR="00E05672" w:rsidRPr="00B61D86" w:rsidRDefault="00E05672" w:rsidP="003F5048">
      <w:pPr>
        <w:shd w:val="clear" w:color="auto" w:fill="FFFFFF"/>
        <w:spacing w:line="306" w:lineRule="exact"/>
        <w:ind w:left="1343"/>
        <w:jc w:val="center"/>
        <w:rPr>
          <w:sz w:val="24"/>
          <w:szCs w:val="24"/>
        </w:rPr>
      </w:pPr>
    </w:p>
    <w:p w:rsidR="009F4BE8" w:rsidRPr="00B61D86" w:rsidRDefault="009F4BE8" w:rsidP="009F4BE8">
      <w:pPr>
        <w:pStyle w:val="a5"/>
        <w:shd w:val="clear" w:color="auto" w:fill="FFFFFF"/>
        <w:spacing w:before="0" w:beforeAutospacing="0" w:after="0" w:afterAutospacing="0"/>
        <w:ind w:firstLine="709"/>
        <w:jc w:val="both"/>
        <w:textAlignment w:val="baseline"/>
        <w:rPr>
          <w:color w:val="000000"/>
        </w:rPr>
      </w:pPr>
      <w:r w:rsidRPr="00B61D86">
        <w:rPr>
          <w:color w:val="000000"/>
          <w:spacing w:val="1"/>
        </w:rPr>
        <w:t xml:space="preserve">   </w:t>
      </w:r>
      <w:r w:rsidRPr="00B61D86">
        <w:rPr>
          <w:color w:val="000000"/>
        </w:rPr>
        <w:t>Процедура определения обстоятельств или действий, препятствующих или затрудняющих и ограничивающих хозяйствующим субъектам начало деятельности на товарном рынке (далее - определение барьеров входа на товарный рынок), включает:</w:t>
      </w:r>
    </w:p>
    <w:p w:rsidR="009F4BE8" w:rsidRPr="00B61D86" w:rsidRDefault="009F4BE8" w:rsidP="009F4BE8">
      <w:pPr>
        <w:pStyle w:val="a5"/>
        <w:shd w:val="clear" w:color="auto" w:fill="FFFFFF"/>
        <w:spacing w:before="0" w:beforeAutospacing="0" w:after="0" w:afterAutospacing="0"/>
        <w:ind w:firstLine="709"/>
        <w:jc w:val="both"/>
        <w:textAlignment w:val="baseline"/>
        <w:rPr>
          <w:color w:val="000000"/>
        </w:rPr>
      </w:pPr>
      <w:r w:rsidRPr="00B61D86">
        <w:rPr>
          <w:color w:val="000000"/>
        </w:rPr>
        <w:t>– выявление наличия (или отсутствия) барьеров входа на рассматриваемый товарный рынок;</w:t>
      </w:r>
    </w:p>
    <w:p w:rsidR="009F4BE8" w:rsidRPr="00B61D86" w:rsidRDefault="009F4BE8" w:rsidP="009F4BE8">
      <w:pPr>
        <w:pStyle w:val="a5"/>
        <w:shd w:val="clear" w:color="auto" w:fill="FFFFFF"/>
        <w:spacing w:before="0" w:beforeAutospacing="0" w:after="0" w:afterAutospacing="0"/>
        <w:ind w:firstLine="709"/>
        <w:jc w:val="both"/>
        <w:textAlignment w:val="baseline"/>
        <w:rPr>
          <w:color w:val="000000"/>
        </w:rPr>
      </w:pPr>
      <w:r w:rsidRPr="00B61D86">
        <w:rPr>
          <w:color w:val="000000"/>
        </w:rPr>
        <w:t>– определение преодолимости выявленных барьеров входа на рассматриваемый товарный рынок.</w:t>
      </w:r>
    </w:p>
    <w:p w:rsidR="009F4BE8" w:rsidRPr="00B61D86" w:rsidRDefault="009F4BE8" w:rsidP="009F4BE8">
      <w:pPr>
        <w:pStyle w:val="a5"/>
        <w:shd w:val="clear" w:color="auto" w:fill="FFFFFF"/>
        <w:spacing w:before="0" w:beforeAutospacing="0" w:after="0" w:afterAutospacing="0"/>
        <w:ind w:firstLine="709"/>
        <w:jc w:val="both"/>
        <w:textAlignment w:val="baseline"/>
        <w:rPr>
          <w:color w:val="000000"/>
        </w:rPr>
      </w:pPr>
      <w:r w:rsidRPr="00B61D86">
        <w:rPr>
          <w:color w:val="000000"/>
        </w:rPr>
        <w:t>В ходе проведения  анализа рынка управлением были опрошены участники розничного рынка реализ</w:t>
      </w:r>
      <w:r w:rsidR="00D36339" w:rsidRPr="00B61D86">
        <w:rPr>
          <w:color w:val="000000"/>
        </w:rPr>
        <w:t xml:space="preserve">ации </w:t>
      </w:r>
      <w:proofErr w:type="spellStart"/>
      <w:r w:rsidR="00D36339" w:rsidRPr="00B61D86">
        <w:rPr>
          <w:color w:val="000000"/>
        </w:rPr>
        <w:t>автобензинов</w:t>
      </w:r>
      <w:proofErr w:type="spellEnd"/>
      <w:r w:rsidRPr="00B61D86">
        <w:rPr>
          <w:color w:val="000000"/>
        </w:rPr>
        <w:t xml:space="preserve"> на предмет наличия экономических и административных барьеров входа на рынок и преодолимости их. </w:t>
      </w:r>
    </w:p>
    <w:p w:rsidR="009F4BE8" w:rsidRPr="00B61D86" w:rsidRDefault="009F4BE8" w:rsidP="009F4BE8">
      <w:pPr>
        <w:pStyle w:val="a5"/>
        <w:shd w:val="clear" w:color="auto" w:fill="FFFFFF"/>
        <w:spacing w:before="0" w:beforeAutospacing="0" w:after="0" w:afterAutospacing="0"/>
        <w:ind w:firstLine="709"/>
        <w:jc w:val="both"/>
        <w:textAlignment w:val="baseline"/>
        <w:rPr>
          <w:color w:val="000000"/>
        </w:rPr>
      </w:pPr>
      <w:r w:rsidRPr="00B61D86">
        <w:rPr>
          <w:color w:val="000000"/>
        </w:rPr>
        <w:t>Проанализировав ответы установлено, что хозяйствующие субъекты не указывают на наличие экономических барьеров входа на рынок.</w:t>
      </w:r>
    </w:p>
    <w:p w:rsidR="00E05672" w:rsidRPr="00B61D86" w:rsidRDefault="009F4BE8" w:rsidP="00E05672">
      <w:pPr>
        <w:pStyle w:val="a5"/>
        <w:shd w:val="clear" w:color="auto" w:fill="FFFFFF"/>
        <w:spacing w:before="0" w:beforeAutospacing="0" w:after="0" w:afterAutospacing="0"/>
        <w:ind w:firstLine="709"/>
        <w:jc w:val="both"/>
        <w:textAlignment w:val="baseline"/>
        <w:rPr>
          <w:color w:val="000000"/>
        </w:rPr>
      </w:pPr>
      <w:r w:rsidRPr="00B61D86">
        <w:rPr>
          <w:color w:val="000000"/>
        </w:rPr>
        <w:t>А</w:t>
      </w:r>
      <w:r w:rsidR="00E05672" w:rsidRPr="00B61D86">
        <w:rPr>
          <w:color w:val="000000"/>
        </w:rPr>
        <w:t>дминистративные ограничения:</w:t>
      </w:r>
    </w:p>
    <w:p w:rsidR="00E05672" w:rsidRPr="00B61D86" w:rsidRDefault="00E05672" w:rsidP="00E05672">
      <w:pPr>
        <w:pStyle w:val="a5"/>
        <w:shd w:val="clear" w:color="auto" w:fill="FFFFFF"/>
        <w:spacing w:before="0" w:beforeAutospacing="0" w:after="0" w:afterAutospacing="0"/>
        <w:ind w:firstLine="709"/>
        <w:jc w:val="both"/>
        <w:textAlignment w:val="baseline"/>
        <w:rPr>
          <w:color w:val="000000"/>
        </w:rPr>
      </w:pPr>
      <w:proofErr w:type="gramStart"/>
      <w:r w:rsidRPr="00B61D86">
        <w:rPr>
          <w:color w:val="000000"/>
        </w:rPr>
        <w:t xml:space="preserve">– определенные ограничения при получении земельных участков и строительстве АЗС для осуществления хозяйственной деятельности, связанные с соответствием ряду стандартов, в </w:t>
      </w:r>
      <w:proofErr w:type="spellStart"/>
      <w:r w:rsidRPr="00B61D86">
        <w:rPr>
          <w:color w:val="000000"/>
        </w:rPr>
        <w:t>т.ч</w:t>
      </w:r>
      <w:proofErr w:type="spellEnd"/>
      <w:r w:rsidRPr="00B61D86">
        <w:rPr>
          <w:color w:val="000000"/>
        </w:rPr>
        <w:t>. 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РФ от 25.09.2007 № 74), «НПБ 111-98*. Нормы пожарной безопасности.</w:t>
      </w:r>
      <w:proofErr w:type="gramEnd"/>
      <w:r w:rsidRPr="00B61D86">
        <w:rPr>
          <w:color w:val="000000"/>
        </w:rPr>
        <w:t xml:space="preserve"> Автозаправочные станции. Требования пожарной безопасности» (утв. Приказом ГУГПС МВД РФ от 23.03.1998 № 25), «Правила технической эксплуатации автозаправочных станций (РД 153-39.2-080-01)» (утв. Приказом Минэнерго РФ от 01.08.2001 № 229).</w:t>
      </w:r>
    </w:p>
    <w:p w:rsidR="00E05672" w:rsidRPr="00B61D86" w:rsidRDefault="00E05672" w:rsidP="00E05672">
      <w:pPr>
        <w:pStyle w:val="a5"/>
        <w:shd w:val="clear" w:color="auto" w:fill="FFFFFF"/>
        <w:spacing w:before="0" w:beforeAutospacing="0" w:after="0" w:afterAutospacing="0"/>
        <w:ind w:firstLine="709"/>
        <w:jc w:val="both"/>
        <w:textAlignment w:val="baseline"/>
        <w:rPr>
          <w:color w:val="000000"/>
        </w:rPr>
      </w:pPr>
      <w:r w:rsidRPr="00B61D86">
        <w:rPr>
          <w:color w:val="000000"/>
        </w:rPr>
        <w:t>3)   наличие вертикально-интегрированных нефтяных компаний (Лукойл и Татнефть) создает преимущества для участников вертикально-интегрированных хозяйствующих субъектов по сравнению с другими потенциальными участниками рынка.</w:t>
      </w:r>
    </w:p>
    <w:p w:rsidR="00E05672" w:rsidRPr="00B61D86" w:rsidRDefault="00E05672" w:rsidP="00E05672">
      <w:pPr>
        <w:pStyle w:val="a5"/>
        <w:shd w:val="clear" w:color="auto" w:fill="FFFFFF"/>
        <w:spacing w:before="0" w:beforeAutospacing="0" w:after="0" w:afterAutospacing="0"/>
        <w:ind w:firstLine="709"/>
        <w:jc w:val="both"/>
        <w:textAlignment w:val="baseline"/>
        <w:rPr>
          <w:color w:val="000000"/>
        </w:rPr>
      </w:pPr>
      <w:r w:rsidRPr="00B61D86">
        <w:rPr>
          <w:color w:val="000000"/>
        </w:rPr>
        <w:t>В силу перечисленных барьеров вход на рынок новых конкурентов затруднен, барьеры входа на рассматриваемый рынок являются частично преодолимыми.</w:t>
      </w:r>
    </w:p>
    <w:p w:rsidR="00E05672" w:rsidRPr="00B61D86" w:rsidRDefault="00E05672" w:rsidP="00E05672">
      <w:pPr>
        <w:pStyle w:val="a5"/>
        <w:shd w:val="clear" w:color="auto" w:fill="FFFFFF"/>
        <w:spacing w:before="0" w:beforeAutospacing="0" w:after="0" w:afterAutospacing="0"/>
        <w:ind w:firstLine="709"/>
        <w:jc w:val="both"/>
        <w:textAlignment w:val="baseline"/>
        <w:rPr>
          <w:color w:val="000000"/>
        </w:rPr>
      </w:pPr>
      <w:r w:rsidRPr="00B61D86">
        <w:rPr>
          <w:color w:val="000000"/>
        </w:rPr>
        <w:t>Необходимость в получении лицензии на эксплуатацию АЗС не установлена. Деятельность, связанная с розничной реализацией дизельного топлива и автомобильных бензинов через АЗС не лицензируется.</w:t>
      </w:r>
    </w:p>
    <w:p w:rsidR="00E05672" w:rsidRPr="00B61D86" w:rsidRDefault="00E05672" w:rsidP="00E05672">
      <w:pPr>
        <w:pStyle w:val="a5"/>
        <w:shd w:val="clear" w:color="auto" w:fill="FFFFFF"/>
        <w:spacing w:before="0" w:beforeAutospacing="0" w:after="0" w:afterAutospacing="0"/>
        <w:ind w:firstLine="709"/>
        <w:jc w:val="both"/>
        <w:textAlignment w:val="baseline"/>
        <w:rPr>
          <w:color w:val="000000"/>
        </w:rPr>
      </w:pPr>
      <w:r w:rsidRPr="00B61D86">
        <w:rPr>
          <w:color w:val="000000"/>
        </w:rPr>
        <w:t xml:space="preserve">Хозяйствующие субъекты через АЗС реализуют автомобильный бензин, который является горючим веществом, следовательно, АЗС относятся к категории опасных производственных объектов в понимании Федерального закона от 21.07.1997 № 116-ФЗ «О промышленной </w:t>
      </w:r>
      <w:r w:rsidRPr="00B61D86">
        <w:rPr>
          <w:color w:val="000000"/>
        </w:rPr>
        <w:lastRenderedPageBreak/>
        <w:t>безопасности опасных производственных объектов» (п. 1 Приложения 1 к указанному Федеральному закону).</w:t>
      </w:r>
    </w:p>
    <w:p w:rsidR="00E05672" w:rsidRPr="00B61D86" w:rsidRDefault="00E05672" w:rsidP="00E05672">
      <w:pPr>
        <w:pStyle w:val="a5"/>
        <w:shd w:val="clear" w:color="auto" w:fill="FFFFFF"/>
        <w:spacing w:before="0" w:beforeAutospacing="0" w:after="0" w:afterAutospacing="0"/>
        <w:ind w:firstLine="709"/>
        <w:jc w:val="both"/>
        <w:textAlignment w:val="baseline"/>
        <w:rPr>
          <w:color w:val="000000"/>
        </w:rPr>
      </w:pPr>
      <w:r w:rsidRPr="00B61D86">
        <w:rPr>
          <w:color w:val="000000"/>
        </w:rPr>
        <w:t>В соответствии с п. 12. ч. 1 ст. 12 Федерального закона от 04.05.2011 № 99-ФЗ «О лицензировании отдельных видов деятельности» эксплуатация взрывоопасных и химически опасных производственных объектов I, II и III классов опасности подлежит лицензированию.</w:t>
      </w:r>
    </w:p>
    <w:p w:rsidR="00E05672" w:rsidRPr="00B61D86" w:rsidRDefault="00E05672" w:rsidP="00E05672">
      <w:pPr>
        <w:pStyle w:val="a5"/>
        <w:shd w:val="clear" w:color="auto" w:fill="FFFFFF"/>
        <w:spacing w:before="0" w:beforeAutospacing="0" w:after="0" w:afterAutospacing="0"/>
        <w:ind w:firstLine="709"/>
        <w:jc w:val="both"/>
        <w:textAlignment w:val="baseline"/>
        <w:rPr>
          <w:color w:val="000000"/>
        </w:rPr>
      </w:pPr>
      <w:r w:rsidRPr="00B61D86">
        <w:rPr>
          <w:color w:val="000000"/>
        </w:rPr>
        <w:t>Горючим жидкостям, находящимся на товарно-сырьевых складах и базах, в зависимости от их количества присвоены следующие классы опасности:</w:t>
      </w:r>
    </w:p>
    <w:p w:rsidR="00E05672" w:rsidRPr="00B61D86" w:rsidRDefault="00E05672" w:rsidP="00E05672">
      <w:pPr>
        <w:pStyle w:val="a5"/>
        <w:shd w:val="clear" w:color="auto" w:fill="FFFFFF"/>
        <w:spacing w:before="0" w:beforeAutospacing="0" w:after="0" w:afterAutospacing="0"/>
        <w:ind w:firstLine="709"/>
        <w:jc w:val="both"/>
        <w:textAlignment w:val="baseline"/>
        <w:rPr>
          <w:color w:val="000000"/>
        </w:rPr>
      </w:pPr>
      <w:r w:rsidRPr="00B61D86">
        <w:rPr>
          <w:color w:val="000000"/>
        </w:rPr>
        <w:t>500 тыс. т и более – I класс опасности;</w:t>
      </w:r>
    </w:p>
    <w:p w:rsidR="00E05672" w:rsidRPr="00B61D86" w:rsidRDefault="00E05672" w:rsidP="00E05672">
      <w:pPr>
        <w:pStyle w:val="a5"/>
        <w:shd w:val="clear" w:color="auto" w:fill="FFFFFF"/>
        <w:spacing w:before="0" w:beforeAutospacing="0" w:after="0" w:afterAutospacing="0"/>
        <w:ind w:firstLine="709"/>
        <w:jc w:val="both"/>
        <w:textAlignment w:val="baseline"/>
        <w:rPr>
          <w:color w:val="000000"/>
        </w:rPr>
      </w:pPr>
      <w:r w:rsidRPr="00B61D86">
        <w:rPr>
          <w:color w:val="000000"/>
        </w:rPr>
        <w:t>50–500 тыс. т – II класс опасности;</w:t>
      </w:r>
    </w:p>
    <w:p w:rsidR="00E05672" w:rsidRPr="00B61D86" w:rsidRDefault="00E05672" w:rsidP="00E05672">
      <w:pPr>
        <w:pStyle w:val="a5"/>
        <w:shd w:val="clear" w:color="auto" w:fill="FFFFFF"/>
        <w:spacing w:before="0" w:beforeAutospacing="0" w:after="0" w:afterAutospacing="0"/>
        <w:ind w:firstLine="709"/>
        <w:jc w:val="both"/>
        <w:textAlignment w:val="baseline"/>
        <w:rPr>
          <w:color w:val="000000"/>
        </w:rPr>
      </w:pPr>
      <w:r w:rsidRPr="00B61D86">
        <w:rPr>
          <w:color w:val="000000"/>
        </w:rPr>
        <w:t>1–50 тыс. т – III класс опасности;</w:t>
      </w:r>
    </w:p>
    <w:p w:rsidR="00E05672" w:rsidRPr="00B61D86" w:rsidRDefault="00E05672" w:rsidP="00E05672">
      <w:pPr>
        <w:pStyle w:val="a5"/>
        <w:shd w:val="clear" w:color="auto" w:fill="FFFFFF"/>
        <w:spacing w:before="0" w:beforeAutospacing="0" w:after="0" w:afterAutospacing="0"/>
        <w:ind w:firstLine="709"/>
        <w:jc w:val="both"/>
        <w:textAlignment w:val="baseline"/>
        <w:rPr>
          <w:color w:val="000000"/>
        </w:rPr>
      </w:pPr>
      <w:r w:rsidRPr="00B61D86">
        <w:rPr>
          <w:color w:val="000000"/>
        </w:rPr>
        <w:t>менее 1 тыс. т – IV класс опасности.</w:t>
      </w:r>
    </w:p>
    <w:p w:rsidR="00E05672" w:rsidRPr="00B61D86" w:rsidRDefault="00E05672" w:rsidP="003F5048">
      <w:pPr>
        <w:pStyle w:val="a5"/>
        <w:shd w:val="clear" w:color="auto" w:fill="FFFFFF"/>
        <w:spacing w:before="0" w:beforeAutospacing="0" w:after="0" w:afterAutospacing="0"/>
        <w:ind w:firstLine="709"/>
        <w:jc w:val="both"/>
        <w:textAlignment w:val="baseline"/>
        <w:rPr>
          <w:color w:val="000000"/>
        </w:rPr>
      </w:pPr>
      <w:r w:rsidRPr="00B61D86">
        <w:rPr>
          <w:color w:val="000000"/>
        </w:rPr>
        <w:t>Для стационарного хранения и дальнейшей реализации автомобильных бензинов и дизельного топлива на АЗС используются резервуары горизонтальные стальные (РГС). По сведениям, размещенным на сайтах производителей и поставщиков технологического оборудования, максимальная емкость РГС составляет 100 м</w:t>
      </w:r>
      <w:r w:rsidRPr="00B61D86">
        <w:rPr>
          <w:color w:val="000000"/>
          <w:bdr w:val="none" w:sz="0" w:space="0" w:color="auto" w:frame="1"/>
          <w:vertAlign w:val="superscript"/>
        </w:rPr>
        <w:t>3</w:t>
      </w:r>
      <w:r w:rsidRPr="00B61D86">
        <w:rPr>
          <w:rStyle w:val="apple-converted-space"/>
          <w:color w:val="000000"/>
        </w:rPr>
        <w:t> </w:t>
      </w:r>
      <w:r w:rsidRPr="00B61D86">
        <w:rPr>
          <w:color w:val="000000"/>
        </w:rPr>
        <w:t>или около 75 т. Учитывая данный факт, АЗС можно отнести к опасным производственным объектам IV класса опасности, эксплуатация которых не подлежит лицензированию. Поэтому условия лицензирования в данном случае административными ограничениями и барьерами входа на рынок не являются.</w:t>
      </w:r>
    </w:p>
    <w:p w:rsidR="001D4ADC" w:rsidRPr="00B61D86" w:rsidRDefault="001D4ADC" w:rsidP="003F5048">
      <w:pPr>
        <w:shd w:val="clear" w:color="auto" w:fill="FFFFFF"/>
        <w:spacing w:line="328" w:lineRule="exact"/>
        <w:ind w:left="360" w:right="979"/>
        <w:jc w:val="both"/>
        <w:rPr>
          <w:sz w:val="24"/>
          <w:szCs w:val="24"/>
        </w:rPr>
      </w:pPr>
    </w:p>
    <w:p w:rsidR="001D4ADC" w:rsidRPr="00B61D86" w:rsidRDefault="001D4ADC" w:rsidP="003F5048">
      <w:pPr>
        <w:framePr w:h="2347" w:hSpace="40" w:vSpace="58" w:wrap="auto" w:vAnchor="text" w:hAnchor="margin" w:x="-1500" w:y="-1579"/>
        <w:rPr>
          <w:sz w:val="24"/>
          <w:szCs w:val="24"/>
        </w:rPr>
      </w:pPr>
    </w:p>
    <w:p w:rsidR="001D4ADC" w:rsidRPr="00B61D86" w:rsidRDefault="001D4ADC" w:rsidP="003F5048">
      <w:pPr>
        <w:shd w:val="clear" w:color="auto" w:fill="FFFFFF"/>
        <w:spacing w:line="313" w:lineRule="exact"/>
        <w:ind w:left="1364"/>
        <w:jc w:val="center"/>
        <w:rPr>
          <w:rFonts w:eastAsia="Times New Roman"/>
          <w:b/>
          <w:bCs/>
          <w:color w:val="000000"/>
          <w:spacing w:val="-4"/>
          <w:sz w:val="24"/>
          <w:szCs w:val="24"/>
        </w:rPr>
      </w:pPr>
      <w:r w:rsidRPr="00B61D86">
        <w:rPr>
          <w:b/>
          <w:bCs/>
          <w:color w:val="000000"/>
          <w:spacing w:val="-5"/>
          <w:sz w:val="24"/>
          <w:szCs w:val="24"/>
          <w:lang w:val="en-US"/>
        </w:rPr>
        <w:t>VIII</w:t>
      </w:r>
      <w:r w:rsidRPr="00B61D86">
        <w:rPr>
          <w:b/>
          <w:bCs/>
          <w:color w:val="000000"/>
          <w:spacing w:val="-5"/>
          <w:sz w:val="24"/>
          <w:szCs w:val="24"/>
        </w:rPr>
        <w:t xml:space="preserve">. </w:t>
      </w:r>
      <w:r w:rsidRPr="00B61D86">
        <w:rPr>
          <w:rFonts w:eastAsia="Times New Roman"/>
          <w:b/>
          <w:bCs/>
          <w:color w:val="000000"/>
          <w:spacing w:val="-4"/>
          <w:sz w:val="24"/>
          <w:szCs w:val="24"/>
        </w:rPr>
        <w:t>Оценка состояния конкуренции на товарном рынке</w:t>
      </w:r>
    </w:p>
    <w:p w:rsidR="003F5048" w:rsidRPr="00B61D86" w:rsidRDefault="003F5048" w:rsidP="003F5048">
      <w:pPr>
        <w:shd w:val="clear" w:color="auto" w:fill="FFFFFF"/>
        <w:spacing w:line="313" w:lineRule="exact"/>
        <w:ind w:left="1364"/>
        <w:rPr>
          <w:sz w:val="24"/>
          <w:szCs w:val="24"/>
        </w:rPr>
      </w:pPr>
    </w:p>
    <w:p w:rsidR="001D4ADC" w:rsidRPr="00B61D86" w:rsidRDefault="0021339E" w:rsidP="001C7AD9">
      <w:pPr>
        <w:jc w:val="both"/>
        <w:rPr>
          <w:sz w:val="24"/>
          <w:szCs w:val="24"/>
        </w:rPr>
      </w:pPr>
      <w:r w:rsidRPr="00B61D86">
        <w:rPr>
          <w:sz w:val="24"/>
          <w:szCs w:val="24"/>
        </w:rPr>
        <w:t xml:space="preserve">        </w:t>
      </w:r>
      <w:r w:rsidR="001D4ADC" w:rsidRPr="00B61D86">
        <w:rPr>
          <w:sz w:val="24"/>
          <w:szCs w:val="24"/>
        </w:rPr>
        <w:t xml:space="preserve">Нефтедобывающие предприятия и нефтеперерабатывающие заводы на территории Чувашской Республики отсутствуют.  </w:t>
      </w:r>
      <w:proofErr w:type="gramStart"/>
      <w:r w:rsidR="001D4ADC" w:rsidRPr="00B61D86">
        <w:rPr>
          <w:sz w:val="24"/>
          <w:szCs w:val="24"/>
        </w:rPr>
        <w:t>Ближайшие нефтеперерабатывающие мощности расположены в Нижегородской области г. Кстово - ООО «ЛУКОЙЛ-Нижегороднефтеоргсинтез» (расстояние Чебоксары – г. Кстово – 214,6 км), и Республике Татарстан - ОАО «</w:t>
      </w:r>
      <w:proofErr w:type="spellStart"/>
      <w:r w:rsidR="001D4ADC" w:rsidRPr="00B61D86">
        <w:rPr>
          <w:sz w:val="24"/>
          <w:szCs w:val="24"/>
        </w:rPr>
        <w:t>Таиф</w:t>
      </w:r>
      <w:proofErr w:type="spellEnd"/>
      <w:r w:rsidR="001D4ADC" w:rsidRPr="00B61D86">
        <w:rPr>
          <w:sz w:val="24"/>
          <w:szCs w:val="24"/>
        </w:rPr>
        <w:t xml:space="preserve">-НК» (расстояние Чебоксары – Альметьевск – 447,4  км).  </w:t>
      </w:r>
      <w:proofErr w:type="gramEnd"/>
    </w:p>
    <w:p w:rsidR="001D4ADC" w:rsidRPr="00B61D86" w:rsidRDefault="0021339E" w:rsidP="001C7AD9">
      <w:pPr>
        <w:pStyle w:val="a5"/>
        <w:spacing w:before="0" w:beforeAutospacing="0" w:after="0" w:afterAutospacing="0"/>
        <w:jc w:val="both"/>
        <w:rPr>
          <w:rFonts w:eastAsiaTheme="minorEastAsia"/>
        </w:rPr>
      </w:pPr>
      <w:r w:rsidRPr="00B61D86">
        <w:rPr>
          <w:rFonts w:eastAsiaTheme="minorEastAsia"/>
        </w:rPr>
        <w:t xml:space="preserve">        </w:t>
      </w:r>
      <w:r w:rsidR="001D4ADC" w:rsidRPr="00B61D86">
        <w:rPr>
          <w:rFonts w:eastAsiaTheme="minorEastAsia"/>
        </w:rPr>
        <w:t xml:space="preserve">Отсутствие в республике собственных нефтеперерабатывающих мощностей обуславливает ценовую политику на розничном рынке нефтепродуктов Чувашии. Розничные цены на территории Чувашской Республики зависят от цен, устанавливаемых нефтеперерабатывающими заводами и оптовыми перепродавцами, находящимися за пределами республики. </w:t>
      </w:r>
    </w:p>
    <w:p w:rsidR="001D4ADC" w:rsidRPr="00B61D86" w:rsidRDefault="001D4ADC" w:rsidP="001C7AD9">
      <w:pPr>
        <w:jc w:val="both"/>
        <w:rPr>
          <w:sz w:val="24"/>
          <w:szCs w:val="24"/>
        </w:rPr>
      </w:pPr>
      <w:r w:rsidRPr="00B61D86">
        <w:rPr>
          <w:sz w:val="24"/>
          <w:szCs w:val="24"/>
        </w:rPr>
        <w:t xml:space="preserve">    </w:t>
      </w:r>
      <w:r w:rsidR="004A1C7C" w:rsidRPr="00B61D86">
        <w:rPr>
          <w:sz w:val="24"/>
          <w:szCs w:val="24"/>
        </w:rPr>
        <w:t xml:space="preserve"> </w:t>
      </w:r>
      <w:r w:rsidR="0021339E" w:rsidRPr="00B61D86">
        <w:rPr>
          <w:sz w:val="24"/>
          <w:szCs w:val="24"/>
        </w:rPr>
        <w:t xml:space="preserve"> </w:t>
      </w:r>
      <w:r w:rsidR="004A1C7C" w:rsidRPr="00B61D86">
        <w:rPr>
          <w:sz w:val="24"/>
          <w:szCs w:val="24"/>
        </w:rPr>
        <w:t xml:space="preserve">  </w:t>
      </w:r>
      <w:r w:rsidRPr="00B61D86">
        <w:rPr>
          <w:sz w:val="24"/>
          <w:szCs w:val="24"/>
        </w:rPr>
        <w:t xml:space="preserve"> Рынок розничной реализации </w:t>
      </w:r>
      <w:proofErr w:type="spellStart"/>
      <w:r w:rsidR="003F5048" w:rsidRPr="00B61D86">
        <w:rPr>
          <w:sz w:val="24"/>
          <w:szCs w:val="24"/>
        </w:rPr>
        <w:t>автобензинов</w:t>
      </w:r>
      <w:proofErr w:type="spellEnd"/>
      <w:r w:rsidR="003F5048" w:rsidRPr="00B61D86">
        <w:rPr>
          <w:sz w:val="24"/>
          <w:szCs w:val="24"/>
        </w:rPr>
        <w:t xml:space="preserve"> </w:t>
      </w:r>
      <w:r w:rsidRPr="00B61D86">
        <w:rPr>
          <w:sz w:val="24"/>
          <w:szCs w:val="24"/>
        </w:rPr>
        <w:t xml:space="preserve">в </w:t>
      </w:r>
      <w:r w:rsidR="003F5048" w:rsidRPr="00B61D86">
        <w:rPr>
          <w:sz w:val="24"/>
          <w:szCs w:val="24"/>
        </w:rPr>
        <w:t xml:space="preserve">республике </w:t>
      </w:r>
      <w:r w:rsidRPr="00B61D86">
        <w:rPr>
          <w:sz w:val="24"/>
          <w:szCs w:val="24"/>
        </w:rPr>
        <w:t xml:space="preserve">высококонцентрированный и  относится к рынку с неразвитой конкуренцией. </w:t>
      </w:r>
    </w:p>
    <w:p w:rsidR="001D4ADC" w:rsidRPr="00B61D86" w:rsidRDefault="001D4ADC" w:rsidP="001C7AD9">
      <w:pPr>
        <w:ind w:firstLine="560"/>
        <w:jc w:val="both"/>
        <w:rPr>
          <w:sz w:val="24"/>
          <w:szCs w:val="24"/>
        </w:rPr>
      </w:pPr>
      <w:r w:rsidRPr="00B61D86">
        <w:rPr>
          <w:sz w:val="24"/>
          <w:szCs w:val="24"/>
        </w:rPr>
        <w:t xml:space="preserve">Согласно п. 8.2.  Порядка к  факторам, ограничивающим конкуренцию на рассматриваемом товарном рынке, могут относиться наличие ВИНКОВ. На территории Чувашской Республики работают 2 </w:t>
      </w:r>
      <w:proofErr w:type="spellStart"/>
      <w:r w:rsidRPr="00B61D86">
        <w:rPr>
          <w:sz w:val="24"/>
          <w:szCs w:val="24"/>
        </w:rPr>
        <w:t>ВИНКа</w:t>
      </w:r>
      <w:proofErr w:type="spellEnd"/>
      <w:r w:rsidRPr="00B61D86">
        <w:rPr>
          <w:sz w:val="24"/>
          <w:szCs w:val="24"/>
        </w:rPr>
        <w:t>: ОАО «Лукойл», ОАО «Татнефть», так же действует еще один крупный оператор ОАО ХК «</w:t>
      </w:r>
      <w:proofErr w:type="spellStart"/>
      <w:r w:rsidRPr="00B61D86">
        <w:rPr>
          <w:sz w:val="24"/>
          <w:szCs w:val="24"/>
        </w:rPr>
        <w:t>Татнефтепродукт</w:t>
      </w:r>
      <w:proofErr w:type="spellEnd"/>
      <w:r w:rsidRPr="00B61D86">
        <w:rPr>
          <w:sz w:val="24"/>
          <w:szCs w:val="24"/>
        </w:rPr>
        <w:t>» Филиал «</w:t>
      </w:r>
      <w:proofErr w:type="spellStart"/>
      <w:r w:rsidRPr="00B61D86">
        <w:rPr>
          <w:sz w:val="24"/>
          <w:szCs w:val="24"/>
        </w:rPr>
        <w:t>Буинскнефтепродукт</w:t>
      </w:r>
      <w:proofErr w:type="spellEnd"/>
      <w:r w:rsidRPr="00B61D86">
        <w:rPr>
          <w:sz w:val="24"/>
          <w:szCs w:val="24"/>
        </w:rPr>
        <w:t>».</w:t>
      </w:r>
    </w:p>
    <w:p w:rsidR="00965D73" w:rsidRPr="00B61D86" w:rsidRDefault="00965D73" w:rsidP="001C7AD9">
      <w:pPr>
        <w:widowControl/>
        <w:ind w:firstLine="540"/>
        <w:jc w:val="both"/>
        <w:rPr>
          <w:rFonts w:eastAsia="SimSun"/>
          <w:sz w:val="24"/>
          <w:szCs w:val="24"/>
          <w:lang w:eastAsia="ar-SA"/>
        </w:rPr>
      </w:pPr>
      <w:r w:rsidRPr="00B61D86">
        <w:rPr>
          <w:rFonts w:eastAsia="Times New Roman"/>
          <w:sz w:val="24"/>
          <w:szCs w:val="24"/>
        </w:rPr>
        <w:t xml:space="preserve">В приложении </w:t>
      </w:r>
      <w:r w:rsidR="006D6D16" w:rsidRPr="00B61D86">
        <w:rPr>
          <w:rFonts w:eastAsia="Times New Roman"/>
          <w:sz w:val="24"/>
          <w:szCs w:val="24"/>
        </w:rPr>
        <w:t>1-5</w:t>
      </w:r>
      <w:r w:rsidR="00971435" w:rsidRPr="00B61D86">
        <w:rPr>
          <w:rFonts w:eastAsia="Times New Roman"/>
          <w:sz w:val="24"/>
          <w:szCs w:val="24"/>
        </w:rPr>
        <w:t xml:space="preserve"> </w:t>
      </w:r>
      <w:r w:rsidRPr="00B61D86">
        <w:rPr>
          <w:rFonts w:eastAsia="Times New Roman"/>
          <w:sz w:val="24"/>
          <w:szCs w:val="24"/>
        </w:rPr>
        <w:t xml:space="preserve">приведены доли хозяйствующих субъектов занимающихся розничной реализацией </w:t>
      </w:r>
      <w:proofErr w:type="spellStart"/>
      <w:r w:rsidRPr="00B61D86">
        <w:rPr>
          <w:rFonts w:eastAsia="Times New Roman"/>
          <w:sz w:val="24"/>
          <w:szCs w:val="24"/>
        </w:rPr>
        <w:t>автобензинов</w:t>
      </w:r>
      <w:proofErr w:type="spellEnd"/>
      <w:r w:rsidRPr="00B61D86">
        <w:rPr>
          <w:rFonts w:eastAsia="Times New Roman"/>
          <w:sz w:val="24"/>
          <w:szCs w:val="24"/>
        </w:rPr>
        <w:t xml:space="preserve"> в 2011 и 2012 гг.</w:t>
      </w:r>
    </w:p>
    <w:p w:rsidR="009F4BE8" w:rsidRPr="00B61D86" w:rsidRDefault="009F4BE8" w:rsidP="001C7AD9">
      <w:pPr>
        <w:widowControl/>
        <w:ind w:firstLine="709"/>
        <w:jc w:val="both"/>
        <w:outlineLvl w:val="1"/>
        <w:rPr>
          <w:rFonts w:eastAsia="Times New Roman"/>
          <w:sz w:val="24"/>
          <w:szCs w:val="24"/>
        </w:rPr>
      </w:pPr>
      <w:r w:rsidRPr="00B61D86">
        <w:rPr>
          <w:rFonts w:eastAsia="SimSun"/>
          <w:sz w:val="24"/>
          <w:szCs w:val="24"/>
          <w:lang w:eastAsia="ar-SA"/>
        </w:rPr>
        <w:t xml:space="preserve">В соответствии с частью 1 статьи 5 </w:t>
      </w:r>
      <w:r w:rsidRPr="00B61D86">
        <w:rPr>
          <w:rFonts w:eastAsia="Times New Roman"/>
          <w:sz w:val="24"/>
          <w:szCs w:val="24"/>
        </w:rPr>
        <w:t xml:space="preserve">Закон </w:t>
      </w:r>
      <w:r w:rsidR="006E20AD" w:rsidRPr="00B61D86">
        <w:rPr>
          <w:rFonts w:eastAsia="Times New Roman"/>
          <w:sz w:val="24"/>
          <w:szCs w:val="24"/>
        </w:rPr>
        <w:t>о</w:t>
      </w:r>
      <w:r w:rsidRPr="00B61D86">
        <w:rPr>
          <w:rFonts w:eastAsia="Times New Roman"/>
          <w:sz w:val="24"/>
          <w:szCs w:val="24"/>
        </w:rPr>
        <w:t xml:space="preserve"> защите конкуренции доминирующим признается положение хозяйствующего субъекта, доля которого на рынке определенного товара превышает 50 %.</w:t>
      </w:r>
    </w:p>
    <w:p w:rsidR="005970B9" w:rsidRPr="00B61D86" w:rsidRDefault="005970B9" w:rsidP="005970B9">
      <w:pPr>
        <w:ind w:firstLine="560"/>
        <w:jc w:val="both"/>
        <w:rPr>
          <w:rFonts w:eastAsia="Times New Roman"/>
          <w:sz w:val="24"/>
          <w:szCs w:val="24"/>
        </w:rPr>
      </w:pPr>
      <w:proofErr w:type="gramStart"/>
      <w:r w:rsidRPr="00B61D86">
        <w:rPr>
          <w:rFonts w:eastAsia="Times New Roman"/>
          <w:sz w:val="24"/>
          <w:szCs w:val="24"/>
        </w:rPr>
        <w:t xml:space="preserve">На основании проведенного анализа рынка предлагаю включить в  Реестра хозяйствующих субъектов, имеющих на рынке определенного товара долю более чем 35 процентов или занимающих доминирующее положение на рынке определенного товара, если в отношении такого рынка федеральными законами установлены случаи признания доминирующего положения согласно приложению 6 </w:t>
      </w:r>
      <w:r w:rsidRPr="00B61D86">
        <w:rPr>
          <w:sz w:val="24"/>
          <w:szCs w:val="24"/>
        </w:rPr>
        <w:t xml:space="preserve">(доля данных </w:t>
      </w:r>
      <w:proofErr w:type="spellStart"/>
      <w:r w:rsidRPr="00B61D86">
        <w:rPr>
          <w:sz w:val="24"/>
          <w:szCs w:val="24"/>
        </w:rPr>
        <w:t>хозсубъектов</w:t>
      </w:r>
      <w:proofErr w:type="spellEnd"/>
      <w:r w:rsidRPr="00B61D86">
        <w:rPr>
          <w:sz w:val="24"/>
          <w:szCs w:val="24"/>
        </w:rPr>
        <w:t xml:space="preserve"> превышает 50%).</w:t>
      </w:r>
      <w:proofErr w:type="gramEnd"/>
    </w:p>
    <w:p w:rsidR="00965D73" w:rsidRPr="00B61D86" w:rsidRDefault="00965D73" w:rsidP="001C7AD9">
      <w:pPr>
        <w:ind w:firstLine="560"/>
        <w:jc w:val="both"/>
        <w:rPr>
          <w:rFonts w:eastAsia="Times New Roman"/>
          <w:sz w:val="24"/>
          <w:szCs w:val="24"/>
        </w:rPr>
      </w:pPr>
      <w:proofErr w:type="gramStart"/>
      <w:r w:rsidRPr="00B61D86">
        <w:rPr>
          <w:rFonts w:eastAsia="Times New Roman"/>
          <w:sz w:val="24"/>
          <w:szCs w:val="24"/>
        </w:rPr>
        <w:t xml:space="preserve">На основании проведенного анализа рынка предлагаю исключить из  Реестра хозяйствующих субъектов, имеющих на рынке определенного товара долю более чем 35 процентов или занимающих доминирующее положение на рынке определенного товара, если в отношении такого рынка федеральными законами установлены случаи признания доминирующего положения согласно приложению </w:t>
      </w:r>
      <w:r w:rsidR="005970B9" w:rsidRPr="00B61D86">
        <w:rPr>
          <w:rFonts w:eastAsia="Times New Roman"/>
          <w:sz w:val="24"/>
          <w:szCs w:val="24"/>
        </w:rPr>
        <w:t>7</w:t>
      </w:r>
      <w:r w:rsidR="006D6D16" w:rsidRPr="00B61D86">
        <w:rPr>
          <w:rFonts w:eastAsia="Times New Roman"/>
          <w:sz w:val="24"/>
          <w:szCs w:val="24"/>
        </w:rPr>
        <w:t xml:space="preserve"> </w:t>
      </w:r>
      <w:r w:rsidR="006D6D16" w:rsidRPr="00B61D86">
        <w:rPr>
          <w:sz w:val="24"/>
          <w:szCs w:val="24"/>
        </w:rPr>
        <w:t xml:space="preserve">(изменение долей </w:t>
      </w:r>
      <w:proofErr w:type="spellStart"/>
      <w:r w:rsidR="006D6D16" w:rsidRPr="00B61D86">
        <w:rPr>
          <w:sz w:val="24"/>
          <w:szCs w:val="24"/>
        </w:rPr>
        <w:t>хозсубъекта</w:t>
      </w:r>
      <w:proofErr w:type="spellEnd"/>
      <w:r w:rsidR="006D6D16" w:rsidRPr="00B61D86">
        <w:rPr>
          <w:sz w:val="24"/>
          <w:szCs w:val="24"/>
        </w:rPr>
        <w:t>, подвержены значительным изменениям относительного размера долей принадлежащих конкурентам, согласно расчетам приложения</w:t>
      </w:r>
      <w:r w:rsidR="005970B9" w:rsidRPr="00B61D86">
        <w:rPr>
          <w:sz w:val="24"/>
          <w:szCs w:val="24"/>
        </w:rPr>
        <w:t xml:space="preserve"> 9</w:t>
      </w:r>
      <w:r w:rsidR="006D6D16" w:rsidRPr="00B61D86">
        <w:rPr>
          <w:sz w:val="24"/>
          <w:szCs w:val="24"/>
        </w:rPr>
        <w:t>-1</w:t>
      </w:r>
      <w:r w:rsidR="005970B9" w:rsidRPr="00B61D86">
        <w:rPr>
          <w:sz w:val="24"/>
          <w:szCs w:val="24"/>
        </w:rPr>
        <w:t>1</w:t>
      </w:r>
      <w:r w:rsidR="006D6D16" w:rsidRPr="00B61D86">
        <w:rPr>
          <w:sz w:val="24"/>
          <w:szCs w:val="24"/>
        </w:rPr>
        <w:t>)</w:t>
      </w:r>
      <w:r w:rsidRPr="00B61D86">
        <w:rPr>
          <w:rFonts w:eastAsia="Times New Roman"/>
          <w:sz w:val="24"/>
          <w:szCs w:val="24"/>
        </w:rPr>
        <w:t>.</w:t>
      </w:r>
      <w:proofErr w:type="gramEnd"/>
    </w:p>
    <w:p w:rsidR="00965D73" w:rsidRPr="00B61D86" w:rsidRDefault="00965D73" w:rsidP="001C7AD9">
      <w:pPr>
        <w:ind w:firstLine="560"/>
        <w:jc w:val="both"/>
        <w:rPr>
          <w:rFonts w:eastAsia="Times New Roman"/>
          <w:sz w:val="24"/>
          <w:szCs w:val="24"/>
        </w:rPr>
      </w:pPr>
      <w:r w:rsidRPr="00B61D86">
        <w:rPr>
          <w:rFonts w:eastAsia="Times New Roman"/>
          <w:sz w:val="24"/>
          <w:szCs w:val="24"/>
        </w:rPr>
        <w:lastRenderedPageBreak/>
        <w:t>На основании проведенного анализа рынка предлагаю внести изменения в Реестр хозяйствующих субъектов, имеющих на рынке определенного товара долю более чем 35 процентов или занимающих доминирующее положение на рынке определенного товара, если в отношении такого рынка федеральными законами установлены случаи признания доминирующего</w:t>
      </w:r>
      <w:r w:rsidR="006D6D16" w:rsidRPr="00B61D86">
        <w:rPr>
          <w:rFonts w:eastAsia="Times New Roman"/>
          <w:sz w:val="24"/>
          <w:szCs w:val="24"/>
        </w:rPr>
        <w:t xml:space="preserve"> положения согласно приложению </w:t>
      </w:r>
      <w:r w:rsidR="005970B9" w:rsidRPr="00B61D86">
        <w:rPr>
          <w:rFonts w:eastAsia="Times New Roman"/>
          <w:sz w:val="24"/>
          <w:szCs w:val="24"/>
        </w:rPr>
        <w:t>8</w:t>
      </w:r>
      <w:r w:rsidR="006D6D16" w:rsidRPr="00B61D86">
        <w:rPr>
          <w:sz w:val="24"/>
          <w:szCs w:val="24"/>
        </w:rPr>
        <w:t xml:space="preserve"> (изменения внесены по тем </w:t>
      </w:r>
      <w:proofErr w:type="spellStart"/>
      <w:proofErr w:type="gramStart"/>
      <w:r w:rsidR="006D6D16" w:rsidRPr="00B61D86">
        <w:rPr>
          <w:sz w:val="24"/>
          <w:szCs w:val="24"/>
        </w:rPr>
        <w:t>хозсубъектам</w:t>
      </w:r>
      <w:proofErr w:type="spellEnd"/>
      <w:proofErr w:type="gramEnd"/>
      <w:r w:rsidR="006D6D16" w:rsidRPr="00B61D86">
        <w:rPr>
          <w:sz w:val="24"/>
          <w:szCs w:val="24"/>
        </w:rPr>
        <w:t xml:space="preserve"> чья доля более 50%)</w:t>
      </w:r>
      <w:r w:rsidR="006D6D16" w:rsidRPr="00B61D86">
        <w:rPr>
          <w:rFonts w:eastAsia="Times New Roman"/>
          <w:sz w:val="24"/>
          <w:szCs w:val="24"/>
        </w:rPr>
        <w:t xml:space="preserve"> </w:t>
      </w:r>
      <w:r w:rsidRPr="00B61D86">
        <w:rPr>
          <w:rFonts w:eastAsia="Times New Roman"/>
          <w:sz w:val="24"/>
          <w:szCs w:val="24"/>
        </w:rPr>
        <w:t>.</w:t>
      </w:r>
    </w:p>
    <w:p w:rsidR="00965D73" w:rsidRPr="00B61D86" w:rsidRDefault="00965D73" w:rsidP="001C7AD9">
      <w:pPr>
        <w:ind w:firstLine="540"/>
        <w:jc w:val="both"/>
        <w:rPr>
          <w:rFonts w:eastAsia="Times New Roman"/>
          <w:sz w:val="24"/>
          <w:szCs w:val="24"/>
        </w:rPr>
      </w:pPr>
      <w:proofErr w:type="gramStart"/>
      <w:r w:rsidRPr="00B61D86">
        <w:rPr>
          <w:rFonts w:eastAsia="SimSun"/>
          <w:sz w:val="24"/>
          <w:szCs w:val="24"/>
          <w:lang w:eastAsia="ar-SA"/>
        </w:rPr>
        <w:t xml:space="preserve">В соответствии с частью 2 статьи 5 </w:t>
      </w:r>
      <w:r w:rsidRPr="00B61D86">
        <w:rPr>
          <w:rFonts w:eastAsia="Times New Roman"/>
          <w:sz w:val="24"/>
          <w:szCs w:val="24"/>
        </w:rPr>
        <w:t xml:space="preserve">Закон </w:t>
      </w:r>
      <w:r w:rsidR="001C7AD9" w:rsidRPr="00B61D86">
        <w:rPr>
          <w:rFonts w:eastAsia="Times New Roman"/>
          <w:sz w:val="24"/>
          <w:szCs w:val="24"/>
        </w:rPr>
        <w:t>о</w:t>
      </w:r>
      <w:r w:rsidRPr="00B61D86">
        <w:rPr>
          <w:rFonts w:eastAsia="Times New Roman"/>
          <w:sz w:val="24"/>
          <w:szCs w:val="24"/>
        </w:rPr>
        <w:t xml:space="preserve"> защите конкуренции доминирующим признается положение хозяйствующего субъекта,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w:t>
      </w:r>
      <w:proofErr w:type="gramEnd"/>
      <w:r w:rsidRPr="00B61D86">
        <w:rPr>
          <w:rFonts w:eastAsia="Times New Roman"/>
          <w:sz w:val="24"/>
          <w:szCs w:val="24"/>
        </w:rPr>
        <w:t xml:space="preserve"> на этот товарный рынок новых конкурентов либо исходя из иных критериев, характеризующих товарный рынок.</w:t>
      </w:r>
    </w:p>
    <w:p w:rsidR="009F5138" w:rsidRPr="00B61D86" w:rsidRDefault="00965D73" w:rsidP="001C7AD9">
      <w:pPr>
        <w:ind w:firstLine="540"/>
        <w:jc w:val="both"/>
        <w:rPr>
          <w:rFonts w:eastAsia="Times New Roman"/>
          <w:sz w:val="24"/>
          <w:szCs w:val="24"/>
        </w:rPr>
      </w:pPr>
      <w:r w:rsidRPr="00B61D86">
        <w:rPr>
          <w:rFonts w:eastAsia="Times New Roman"/>
          <w:sz w:val="24"/>
          <w:szCs w:val="24"/>
        </w:rPr>
        <w:t xml:space="preserve">Управлением проведен сравнительный анализ изменения долей </w:t>
      </w:r>
      <w:proofErr w:type="spellStart"/>
      <w:r w:rsidRPr="00B61D86">
        <w:rPr>
          <w:rFonts w:eastAsia="Times New Roman"/>
          <w:sz w:val="24"/>
          <w:szCs w:val="24"/>
        </w:rPr>
        <w:t>хозсубъектов</w:t>
      </w:r>
      <w:proofErr w:type="spellEnd"/>
      <w:r w:rsidRPr="00B61D86">
        <w:rPr>
          <w:rFonts w:eastAsia="Times New Roman"/>
          <w:sz w:val="24"/>
          <w:szCs w:val="24"/>
        </w:rPr>
        <w:t xml:space="preserve"> на товарном рынке </w:t>
      </w:r>
      <w:r w:rsidR="006D6D16" w:rsidRPr="00B61D86">
        <w:rPr>
          <w:rFonts w:eastAsia="Times New Roman"/>
          <w:sz w:val="24"/>
          <w:szCs w:val="24"/>
        </w:rPr>
        <w:t xml:space="preserve">за 2011,2012 гг. </w:t>
      </w:r>
      <w:r w:rsidRPr="00B61D86">
        <w:rPr>
          <w:rFonts w:eastAsia="Times New Roman"/>
          <w:sz w:val="24"/>
          <w:szCs w:val="24"/>
        </w:rPr>
        <w:t>относительно долей п</w:t>
      </w:r>
      <w:r w:rsidR="009F5138" w:rsidRPr="00B61D86">
        <w:rPr>
          <w:rFonts w:eastAsia="Times New Roman"/>
          <w:sz w:val="24"/>
          <w:szCs w:val="24"/>
        </w:rPr>
        <w:t>ринадлежащих конкурент</w:t>
      </w:r>
      <w:r w:rsidR="006D6D16" w:rsidRPr="00B61D86">
        <w:rPr>
          <w:rFonts w:eastAsia="Times New Roman"/>
          <w:sz w:val="24"/>
          <w:szCs w:val="24"/>
        </w:rPr>
        <w:t xml:space="preserve">ам </w:t>
      </w:r>
      <w:r w:rsidR="009F5138" w:rsidRPr="00B61D86">
        <w:rPr>
          <w:rFonts w:eastAsia="Times New Roman"/>
          <w:sz w:val="24"/>
          <w:szCs w:val="24"/>
        </w:rPr>
        <w:t xml:space="preserve"> на этом</w:t>
      </w:r>
      <w:r w:rsidRPr="00B61D86">
        <w:rPr>
          <w:rFonts w:eastAsia="Times New Roman"/>
          <w:sz w:val="24"/>
          <w:szCs w:val="24"/>
        </w:rPr>
        <w:t xml:space="preserve"> товарном рынке по формуле</w:t>
      </w:r>
      <w:r w:rsidR="009F5138" w:rsidRPr="00B61D86">
        <w:rPr>
          <w:rFonts w:eastAsia="Times New Roman"/>
          <w:sz w:val="24"/>
          <w:szCs w:val="24"/>
        </w:rPr>
        <w:t>:</w:t>
      </w:r>
    </w:p>
    <w:p w:rsidR="009F5138" w:rsidRPr="00B61D86" w:rsidRDefault="009F5138" w:rsidP="009F5138">
      <w:pPr>
        <w:ind w:firstLine="540"/>
        <w:jc w:val="both"/>
        <w:rPr>
          <w:rFonts w:eastAsia="Times New Roman"/>
          <w:sz w:val="24"/>
          <w:szCs w:val="24"/>
          <w:u w:val="single"/>
        </w:rPr>
      </w:pPr>
      <w:r w:rsidRPr="00B61D86">
        <w:rPr>
          <w:rFonts w:eastAsia="Times New Roman"/>
          <w:b/>
          <w:sz w:val="24"/>
          <w:szCs w:val="24"/>
          <w:u w:val="single"/>
        </w:rPr>
        <w:t>( (</w:t>
      </w:r>
      <w:r w:rsidR="000070E2" w:rsidRPr="00B61D86">
        <w:rPr>
          <w:rFonts w:eastAsia="Times New Roman"/>
          <w:b/>
          <w:sz w:val="24"/>
          <w:szCs w:val="24"/>
          <w:u w:val="single"/>
        </w:rPr>
        <w:t>Дхс2012</w:t>
      </w:r>
      <w:proofErr w:type="gramStart"/>
      <w:r w:rsidR="000070E2" w:rsidRPr="00B61D86">
        <w:rPr>
          <w:rFonts w:eastAsia="Times New Roman"/>
          <w:b/>
          <w:sz w:val="24"/>
          <w:szCs w:val="24"/>
          <w:u w:val="single"/>
        </w:rPr>
        <w:t xml:space="preserve"> :</w:t>
      </w:r>
      <w:proofErr w:type="gramEnd"/>
      <w:r w:rsidR="000070E2" w:rsidRPr="00B61D86">
        <w:rPr>
          <w:rFonts w:eastAsia="Times New Roman"/>
          <w:b/>
          <w:sz w:val="24"/>
          <w:szCs w:val="24"/>
          <w:u w:val="single"/>
        </w:rPr>
        <w:t xml:space="preserve"> </w:t>
      </w:r>
      <w:r w:rsidRPr="00B61D86">
        <w:rPr>
          <w:rFonts w:eastAsia="Times New Roman"/>
          <w:b/>
          <w:sz w:val="24"/>
          <w:szCs w:val="24"/>
          <w:u w:val="single"/>
        </w:rPr>
        <w:t>Дкон</w:t>
      </w:r>
      <w:r w:rsidR="00965D73" w:rsidRPr="00B61D86">
        <w:rPr>
          <w:rFonts w:eastAsia="Times New Roman"/>
          <w:b/>
          <w:sz w:val="24"/>
          <w:szCs w:val="24"/>
          <w:u w:val="single"/>
        </w:rPr>
        <w:t>2012</w:t>
      </w:r>
      <w:r w:rsidRPr="00B61D86">
        <w:rPr>
          <w:rFonts w:eastAsia="Times New Roman"/>
          <w:b/>
          <w:sz w:val="24"/>
          <w:szCs w:val="24"/>
          <w:u w:val="single"/>
        </w:rPr>
        <w:t>) – (</w:t>
      </w:r>
      <w:r w:rsidR="000070E2" w:rsidRPr="00B61D86">
        <w:rPr>
          <w:rFonts w:eastAsia="Times New Roman"/>
          <w:b/>
          <w:sz w:val="24"/>
          <w:szCs w:val="24"/>
          <w:u w:val="single"/>
        </w:rPr>
        <w:t>Дхс2011</w:t>
      </w:r>
      <w:proofErr w:type="gramStart"/>
      <w:r w:rsidR="000070E2" w:rsidRPr="00B61D86">
        <w:rPr>
          <w:rFonts w:eastAsia="Times New Roman"/>
          <w:b/>
          <w:sz w:val="24"/>
          <w:szCs w:val="24"/>
          <w:u w:val="single"/>
        </w:rPr>
        <w:t xml:space="preserve"> :</w:t>
      </w:r>
      <w:proofErr w:type="gramEnd"/>
      <w:r w:rsidR="000070E2" w:rsidRPr="00B61D86">
        <w:rPr>
          <w:rFonts w:eastAsia="Times New Roman"/>
          <w:b/>
          <w:sz w:val="24"/>
          <w:szCs w:val="24"/>
          <w:u w:val="single"/>
        </w:rPr>
        <w:t xml:space="preserve"> </w:t>
      </w:r>
      <w:proofErr w:type="gramStart"/>
      <w:r w:rsidRPr="00B61D86">
        <w:rPr>
          <w:rFonts w:eastAsia="Times New Roman"/>
          <w:b/>
          <w:sz w:val="24"/>
          <w:szCs w:val="24"/>
          <w:u w:val="single"/>
        </w:rPr>
        <w:t>Дкон</w:t>
      </w:r>
      <w:r w:rsidR="007E55BA" w:rsidRPr="00B61D86">
        <w:rPr>
          <w:rFonts w:eastAsia="Times New Roman"/>
          <w:b/>
          <w:sz w:val="24"/>
          <w:szCs w:val="24"/>
          <w:u w:val="single"/>
        </w:rPr>
        <w:t>2011</w:t>
      </w:r>
      <w:r w:rsidRPr="00B61D86">
        <w:rPr>
          <w:rFonts w:eastAsia="Times New Roman"/>
          <w:b/>
          <w:sz w:val="24"/>
          <w:szCs w:val="24"/>
          <w:u w:val="single"/>
        </w:rPr>
        <w:t xml:space="preserve">)*100% = итого   </w:t>
      </w:r>
      <w:r w:rsidRPr="00B61D86">
        <w:rPr>
          <w:rFonts w:eastAsia="Times New Roman"/>
          <w:sz w:val="24"/>
          <w:szCs w:val="24"/>
          <w:u w:val="single"/>
        </w:rPr>
        <w:t xml:space="preserve"> </w:t>
      </w:r>
      <w:proofErr w:type="gramEnd"/>
    </w:p>
    <w:p w:rsidR="00965D73" w:rsidRPr="00B61D86" w:rsidRDefault="00965D73" w:rsidP="001C7AD9">
      <w:pPr>
        <w:ind w:firstLine="540"/>
        <w:jc w:val="both"/>
        <w:rPr>
          <w:rFonts w:eastAsia="Times New Roman"/>
          <w:sz w:val="24"/>
          <w:szCs w:val="24"/>
        </w:rPr>
      </w:pPr>
      <w:r w:rsidRPr="00B61D86">
        <w:rPr>
          <w:rFonts w:eastAsia="Times New Roman"/>
          <w:sz w:val="24"/>
          <w:szCs w:val="24"/>
        </w:rPr>
        <w:t xml:space="preserve">Результат, полученный Управлением </w:t>
      </w:r>
      <w:proofErr w:type="gramStart"/>
      <w:r w:rsidRPr="00B61D86">
        <w:rPr>
          <w:rFonts w:eastAsia="Times New Roman"/>
          <w:sz w:val="24"/>
          <w:szCs w:val="24"/>
        </w:rPr>
        <w:t>представлены</w:t>
      </w:r>
      <w:proofErr w:type="gramEnd"/>
      <w:r w:rsidRPr="00B61D86">
        <w:rPr>
          <w:rFonts w:eastAsia="Times New Roman"/>
          <w:sz w:val="24"/>
          <w:szCs w:val="24"/>
        </w:rPr>
        <w:t xml:space="preserve"> в приложении</w:t>
      </w:r>
      <w:r w:rsidR="006D6D16" w:rsidRPr="00B61D86">
        <w:rPr>
          <w:rFonts w:eastAsia="Times New Roman"/>
          <w:sz w:val="24"/>
          <w:szCs w:val="24"/>
        </w:rPr>
        <w:t xml:space="preserve"> </w:t>
      </w:r>
      <w:r w:rsidR="005970B9" w:rsidRPr="00B61D86">
        <w:rPr>
          <w:rFonts w:eastAsia="Times New Roman"/>
          <w:sz w:val="24"/>
          <w:szCs w:val="24"/>
        </w:rPr>
        <w:t>9</w:t>
      </w:r>
      <w:r w:rsidR="006D6D16" w:rsidRPr="00B61D86">
        <w:rPr>
          <w:rFonts w:eastAsia="Times New Roman"/>
          <w:sz w:val="24"/>
          <w:szCs w:val="24"/>
        </w:rPr>
        <w:t>-1</w:t>
      </w:r>
      <w:r w:rsidR="005970B9" w:rsidRPr="00B61D86">
        <w:rPr>
          <w:rFonts w:eastAsia="Times New Roman"/>
          <w:sz w:val="24"/>
          <w:szCs w:val="24"/>
        </w:rPr>
        <w:t>1</w:t>
      </w:r>
      <w:r w:rsidR="00FB413E" w:rsidRPr="00B61D86">
        <w:rPr>
          <w:rFonts w:eastAsia="Times New Roman"/>
          <w:sz w:val="24"/>
          <w:szCs w:val="24"/>
        </w:rPr>
        <w:t>.</w:t>
      </w:r>
    </w:p>
    <w:p w:rsidR="00965D73" w:rsidRPr="00B61D86" w:rsidRDefault="000070E2" w:rsidP="001C7AD9">
      <w:pPr>
        <w:ind w:firstLine="540"/>
        <w:jc w:val="both"/>
        <w:rPr>
          <w:rFonts w:eastAsia="Times New Roman"/>
          <w:sz w:val="24"/>
          <w:szCs w:val="24"/>
        </w:rPr>
      </w:pPr>
      <w:proofErr w:type="gramStart"/>
      <w:r w:rsidRPr="00B61D86">
        <w:rPr>
          <w:rFonts w:eastAsia="Times New Roman"/>
          <w:sz w:val="24"/>
          <w:szCs w:val="24"/>
        </w:rPr>
        <w:t>Внесение изменений в Р</w:t>
      </w:r>
      <w:r w:rsidR="006E20AD" w:rsidRPr="00B61D86">
        <w:rPr>
          <w:rFonts w:eastAsia="Times New Roman"/>
          <w:sz w:val="24"/>
          <w:szCs w:val="24"/>
        </w:rPr>
        <w:t xml:space="preserve">еестра хозяйствующих субъектов, имеющих на рынке определенного товара долю более чем 35 процентов или занимающих доминирующее положение на рынке определенного товара, если в отношении такого рынка федеральными законами установлены случаи признания доминирующего положения </w:t>
      </w:r>
      <w:r w:rsidRPr="00B61D86">
        <w:rPr>
          <w:rFonts w:eastAsia="Times New Roman"/>
          <w:sz w:val="24"/>
          <w:szCs w:val="24"/>
        </w:rPr>
        <w:t xml:space="preserve">необходимо по </w:t>
      </w:r>
      <w:r w:rsidR="00965D73" w:rsidRPr="00B61D86">
        <w:rPr>
          <w:rFonts w:eastAsia="Times New Roman"/>
          <w:sz w:val="24"/>
          <w:szCs w:val="24"/>
        </w:rPr>
        <w:t>следующи</w:t>
      </w:r>
      <w:r w:rsidRPr="00B61D86">
        <w:rPr>
          <w:rFonts w:eastAsia="Times New Roman"/>
          <w:sz w:val="24"/>
          <w:szCs w:val="24"/>
        </w:rPr>
        <w:t>м</w:t>
      </w:r>
      <w:r w:rsidR="00965D73" w:rsidRPr="00B61D86">
        <w:rPr>
          <w:rFonts w:eastAsia="Times New Roman"/>
          <w:sz w:val="24"/>
          <w:szCs w:val="24"/>
        </w:rPr>
        <w:t xml:space="preserve"> </w:t>
      </w:r>
      <w:proofErr w:type="spellStart"/>
      <w:r w:rsidR="00965D73" w:rsidRPr="00B61D86">
        <w:rPr>
          <w:rFonts w:eastAsia="Times New Roman"/>
          <w:sz w:val="24"/>
          <w:szCs w:val="24"/>
        </w:rPr>
        <w:t>хозсубъект</w:t>
      </w:r>
      <w:r w:rsidRPr="00B61D86">
        <w:rPr>
          <w:rFonts w:eastAsia="Times New Roman"/>
          <w:sz w:val="24"/>
          <w:szCs w:val="24"/>
        </w:rPr>
        <w:t>ам</w:t>
      </w:r>
      <w:proofErr w:type="spellEnd"/>
      <w:r w:rsidR="00965D73" w:rsidRPr="00B61D86">
        <w:rPr>
          <w:rFonts w:eastAsia="Times New Roman"/>
          <w:sz w:val="24"/>
          <w:szCs w:val="24"/>
        </w:rPr>
        <w:t xml:space="preserve">, чьи </w:t>
      </w:r>
      <w:r w:rsidR="001C7AD9" w:rsidRPr="00B61D86">
        <w:rPr>
          <w:rFonts w:eastAsia="Times New Roman"/>
          <w:sz w:val="24"/>
          <w:szCs w:val="24"/>
        </w:rPr>
        <w:t>доли подвержены малозначительным изменениям на товарном рынке</w:t>
      </w:r>
      <w:r w:rsidR="009F5138" w:rsidRPr="00B61D86">
        <w:rPr>
          <w:rFonts w:eastAsia="Times New Roman"/>
          <w:sz w:val="24"/>
          <w:szCs w:val="24"/>
        </w:rPr>
        <w:t xml:space="preserve"> (менее 10%)</w:t>
      </w:r>
      <w:r w:rsidR="001C7AD9" w:rsidRPr="00B61D86">
        <w:rPr>
          <w:rFonts w:eastAsia="Times New Roman"/>
          <w:sz w:val="24"/>
          <w:szCs w:val="24"/>
        </w:rPr>
        <w:t>, относительного размера долей на этом товарном рынке, принадлежащих конкурентам</w:t>
      </w:r>
      <w:r w:rsidR="006D6D16" w:rsidRPr="00B61D86">
        <w:rPr>
          <w:rFonts w:eastAsia="Times New Roman"/>
          <w:sz w:val="24"/>
          <w:szCs w:val="24"/>
        </w:rPr>
        <w:t xml:space="preserve"> (исходя</w:t>
      </w:r>
      <w:proofErr w:type="gramEnd"/>
      <w:r w:rsidR="006D6D16" w:rsidRPr="00B61D86">
        <w:rPr>
          <w:rFonts w:eastAsia="Times New Roman"/>
          <w:sz w:val="24"/>
          <w:szCs w:val="24"/>
        </w:rPr>
        <w:t xml:space="preserve"> из расчетов приложение </w:t>
      </w:r>
      <w:r w:rsidR="005970B9" w:rsidRPr="00B61D86">
        <w:rPr>
          <w:rFonts w:eastAsia="Times New Roman"/>
          <w:sz w:val="24"/>
          <w:szCs w:val="24"/>
        </w:rPr>
        <w:t>9</w:t>
      </w:r>
      <w:r w:rsidR="006D6D16" w:rsidRPr="00B61D86">
        <w:rPr>
          <w:rFonts w:eastAsia="Times New Roman"/>
          <w:sz w:val="24"/>
          <w:szCs w:val="24"/>
        </w:rPr>
        <w:t>-1</w:t>
      </w:r>
      <w:r w:rsidR="005970B9" w:rsidRPr="00B61D86">
        <w:rPr>
          <w:rFonts w:eastAsia="Times New Roman"/>
          <w:sz w:val="24"/>
          <w:szCs w:val="24"/>
        </w:rPr>
        <w:t>1</w:t>
      </w:r>
      <w:r w:rsidR="006D6D16" w:rsidRPr="00B61D86">
        <w:rPr>
          <w:rFonts w:eastAsia="Times New Roman"/>
          <w:sz w:val="24"/>
          <w:szCs w:val="24"/>
        </w:rPr>
        <w:t>)</w:t>
      </w:r>
      <w:r w:rsidR="001C7AD9" w:rsidRPr="00B61D86">
        <w:rPr>
          <w:rFonts w:eastAsia="Times New Roman"/>
          <w:sz w:val="24"/>
          <w:szCs w:val="24"/>
        </w:rPr>
        <w:t>:</w:t>
      </w:r>
    </w:p>
    <w:p w:rsidR="001C7AD9" w:rsidRPr="00B61D86" w:rsidRDefault="001C7AD9" w:rsidP="001C7AD9">
      <w:pPr>
        <w:ind w:firstLine="540"/>
        <w:jc w:val="both"/>
        <w:rPr>
          <w:rFonts w:eastAsia="Times New Roman"/>
          <w:sz w:val="24"/>
          <w:szCs w:val="24"/>
        </w:rPr>
      </w:pPr>
      <w:r w:rsidRPr="00B61D86">
        <w:rPr>
          <w:rFonts w:eastAsia="Times New Roman"/>
          <w:sz w:val="24"/>
          <w:szCs w:val="24"/>
        </w:rPr>
        <w:t>- ООО «</w:t>
      </w:r>
      <w:proofErr w:type="spellStart"/>
      <w:r w:rsidRPr="00B61D86">
        <w:rPr>
          <w:rFonts w:eastAsia="Times New Roman"/>
          <w:sz w:val="24"/>
          <w:szCs w:val="24"/>
        </w:rPr>
        <w:t>Нефтересурс</w:t>
      </w:r>
      <w:proofErr w:type="spellEnd"/>
      <w:r w:rsidRPr="00B61D86">
        <w:rPr>
          <w:rFonts w:eastAsia="Times New Roman"/>
          <w:sz w:val="24"/>
          <w:szCs w:val="24"/>
        </w:rPr>
        <w:t xml:space="preserve">» при </w:t>
      </w:r>
      <w:r w:rsidR="009F5138" w:rsidRPr="00B61D86">
        <w:rPr>
          <w:rFonts w:eastAsia="Times New Roman"/>
          <w:sz w:val="24"/>
          <w:szCs w:val="24"/>
        </w:rPr>
        <w:t>розничной</w:t>
      </w:r>
      <w:r w:rsidRPr="00B61D86">
        <w:rPr>
          <w:rFonts w:eastAsia="Times New Roman"/>
          <w:sz w:val="24"/>
          <w:szCs w:val="24"/>
        </w:rPr>
        <w:t xml:space="preserve"> реализации АИ-80 в географических границах </w:t>
      </w:r>
      <w:proofErr w:type="spellStart"/>
      <w:r w:rsidRPr="00B61D86">
        <w:rPr>
          <w:rFonts w:eastAsia="Times New Roman"/>
          <w:sz w:val="24"/>
          <w:szCs w:val="24"/>
        </w:rPr>
        <w:t>Урмарского</w:t>
      </w:r>
      <w:proofErr w:type="spellEnd"/>
      <w:r w:rsidRPr="00B61D86">
        <w:rPr>
          <w:rFonts w:eastAsia="Times New Roman"/>
          <w:sz w:val="24"/>
          <w:szCs w:val="24"/>
        </w:rPr>
        <w:t xml:space="preserve"> района с долей &gt;35%;</w:t>
      </w:r>
    </w:p>
    <w:p w:rsidR="006D6D16" w:rsidRPr="00B61D86" w:rsidRDefault="006D6D16" w:rsidP="006D6D16">
      <w:pPr>
        <w:ind w:firstLine="560"/>
        <w:jc w:val="both"/>
        <w:rPr>
          <w:rFonts w:eastAsia="Times New Roman"/>
          <w:sz w:val="24"/>
          <w:szCs w:val="24"/>
        </w:rPr>
      </w:pPr>
      <w:r w:rsidRPr="00B61D86">
        <w:rPr>
          <w:sz w:val="24"/>
          <w:szCs w:val="24"/>
        </w:rPr>
        <w:t xml:space="preserve">- ИП </w:t>
      </w:r>
      <w:proofErr w:type="spellStart"/>
      <w:r w:rsidRPr="00B61D86">
        <w:rPr>
          <w:sz w:val="24"/>
          <w:szCs w:val="24"/>
        </w:rPr>
        <w:t>Литвенчук</w:t>
      </w:r>
      <w:proofErr w:type="spellEnd"/>
      <w:r w:rsidRPr="00B61D86">
        <w:rPr>
          <w:sz w:val="24"/>
          <w:szCs w:val="24"/>
        </w:rPr>
        <w:t xml:space="preserve"> Е.Н. при розничной реализации АИ-80 в географической границе </w:t>
      </w:r>
      <w:proofErr w:type="spellStart"/>
      <w:r w:rsidRPr="00B61D86">
        <w:rPr>
          <w:sz w:val="24"/>
          <w:szCs w:val="24"/>
        </w:rPr>
        <w:t>Шумерлинского</w:t>
      </w:r>
      <w:proofErr w:type="spellEnd"/>
      <w:r w:rsidRPr="00B61D86">
        <w:rPr>
          <w:sz w:val="24"/>
          <w:szCs w:val="24"/>
        </w:rPr>
        <w:t xml:space="preserve"> района с долей &gt; 35%;</w:t>
      </w:r>
    </w:p>
    <w:p w:rsidR="000070E2" w:rsidRPr="00B61D86" w:rsidRDefault="000070E2" w:rsidP="000070E2">
      <w:pPr>
        <w:ind w:firstLine="540"/>
        <w:jc w:val="both"/>
        <w:rPr>
          <w:rFonts w:eastAsia="Times New Roman"/>
          <w:sz w:val="24"/>
          <w:szCs w:val="24"/>
        </w:rPr>
      </w:pPr>
      <w:r w:rsidRPr="00B61D86">
        <w:rPr>
          <w:rFonts w:eastAsia="Times New Roman"/>
          <w:sz w:val="24"/>
          <w:szCs w:val="24"/>
        </w:rPr>
        <w:t>- ООО «Лукойл-</w:t>
      </w:r>
      <w:r w:rsidR="00B175C1" w:rsidRPr="00B61D86">
        <w:rPr>
          <w:rFonts w:eastAsia="Times New Roman"/>
          <w:sz w:val="24"/>
          <w:szCs w:val="24"/>
        </w:rPr>
        <w:t>Волганефтепродукт</w:t>
      </w:r>
      <w:r w:rsidRPr="00B61D86">
        <w:rPr>
          <w:rFonts w:eastAsia="Times New Roman"/>
          <w:sz w:val="24"/>
          <w:szCs w:val="24"/>
        </w:rPr>
        <w:t xml:space="preserve">» при розничной реализации АИ-92 в географических границах </w:t>
      </w:r>
      <w:proofErr w:type="spellStart"/>
      <w:r w:rsidRPr="00B61D86">
        <w:rPr>
          <w:rFonts w:eastAsia="Times New Roman"/>
          <w:sz w:val="24"/>
          <w:szCs w:val="24"/>
        </w:rPr>
        <w:t>Канашского</w:t>
      </w:r>
      <w:proofErr w:type="spellEnd"/>
      <w:r w:rsidRPr="00B61D86">
        <w:rPr>
          <w:rFonts w:eastAsia="Times New Roman"/>
          <w:sz w:val="24"/>
          <w:szCs w:val="24"/>
        </w:rPr>
        <w:t xml:space="preserve"> района с долей &gt;35%;</w:t>
      </w:r>
    </w:p>
    <w:p w:rsidR="000070E2" w:rsidRPr="00B61D86" w:rsidRDefault="000070E2" w:rsidP="000070E2">
      <w:pPr>
        <w:ind w:firstLine="540"/>
        <w:jc w:val="both"/>
        <w:rPr>
          <w:rFonts w:eastAsia="Times New Roman"/>
          <w:sz w:val="24"/>
          <w:szCs w:val="24"/>
        </w:rPr>
      </w:pPr>
      <w:r w:rsidRPr="00B61D86">
        <w:rPr>
          <w:rFonts w:eastAsia="Times New Roman"/>
          <w:sz w:val="24"/>
          <w:szCs w:val="24"/>
        </w:rPr>
        <w:t>- ООО «Татнефть-АЗС Центр» при розничной реализации АИ-92 в географических границах «г. Чебоксары, г. Новочебоксарск, Чебоксарского района» района с долей &gt;35%;</w:t>
      </w:r>
    </w:p>
    <w:p w:rsidR="001C7AD9" w:rsidRPr="00B61D86" w:rsidRDefault="009F5138" w:rsidP="001C7AD9">
      <w:pPr>
        <w:ind w:firstLine="540"/>
        <w:jc w:val="both"/>
        <w:rPr>
          <w:rFonts w:eastAsia="Times New Roman"/>
          <w:sz w:val="24"/>
          <w:szCs w:val="24"/>
        </w:rPr>
      </w:pPr>
      <w:r w:rsidRPr="00B61D86">
        <w:rPr>
          <w:rFonts w:eastAsia="Times New Roman"/>
          <w:sz w:val="24"/>
          <w:szCs w:val="24"/>
        </w:rPr>
        <w:t>- ООО «</w:t>
      </w:r>
      <w:proofErr w:type="spellStart"/>
      <w:r w:rsidRPr="00B61D86">
        <w:rPr>
          <w:rFonts w:eastAsia="Times New Roman"/>
          <w:sz w:val="24"/>
          <w:szCs w:val="24"/>
        </w:rPr>
        <w:t>Дорисс</w:t>
      </w:r>
      <w:proofErr w:type="spellEnd"/>
      <w:r w:rsidRPr="00B61D86">
        <w:rPr>
          <w:rFonts w:eastAsia="Times New Roman"/>
          <w:sz w:val="24"/>
          <w:szCs w:val="24"/>
        </w:rPr>
        <w:t>-н</w:t>
      </w:r>
      <w:r w:rsidR="001C7AD9" w:rsidRPr="00B61D86">
        <w:rPr>
          <w:rFonts w:eastAsia="Times New Roman"/>
          <w:sz w:val="24"/>
          <w:szCs w:val="24"/>
        </w:rPr>
        <w:t>ефтепро</w:t>
      </w:r>
      <w:r w:rsidRPr="00B61D86">
        <w:rPr>
          <w:rFonts w:eastAsia="Times New Roman"/>
          <w:sz w:val="24"/>
          <w:szCs w:val="24"/>
        </w:rPr>
        <w:t>дукт</w:t>
      </w:r>
      <w:r w:rsidR="001C7AD9" w:rsidRPr="00B61D86">
        <w:rPr>
          <w:rFonts w:eastAsia="Times New Roman"/>
          <w:sz w:val="24"/>
          <w:szCs w:val="24"/>
        </w:rPr>
        <w:t xml:space="preserve">» при </w:t>
      </w:r>
      <w:r w:rsidRPr="00B61D86">
        <w:rPr>
          <w:rFonts w:eastAsia="Times New Roman"/>
          <w:sz w:val="24"/>
          <w:szCs w:val="24"/>
        </w:rPr>
        <w:t>розничной</w:t>
      </w:r>
      <w:r w:rsidR="001C7AD9" w:rsidRPr="00B61D86">
        <w:rPr>
          <w:rFonts w:eastAsia="Times New Roman"/>
          <w:sz w:val="24"/>
          <w:szCs w:val="24"/>
        </w:rPr>
        <w:t xml:space="preserve"> реализации АИ-95 в географических границах </w:t>
      </w:r>
      <w:proofErr w:type="spellStart"/>
      <w:r w:rsidR="001C7AD9" w:rsidRPr="00B61D86">
        <w:rPr>
          <w:rFonts w:eastAsia="Times New Roman"/>
          <w:sz w:val="24"/>
          <w:szCs w:val="24"/>
        </w:rPr>
        <w:t>Ядринского</w:t>
      </w:r>
      <w:proofErr w:type="spellEnd"/>
      <w:r w:rsidR="001C7AD9" w:rsidRPr="00B61D86">
        <w:rPr>
          <w:rFonts w:eastAsia="Times New Roman"/>
          <w:sz w:val="24"/>
          <w:szCs w:val="24"/>
        </w:rPr>
        <w:t xml:space="preserve"> района с долей &gt;35%</w:t>
      </w:r>
      <w:r w:rsidR="006D6D16" w:rsidRPr="00B61D86">
        <w:rPr>
          <w:rFonts w:eastAsia="Times New Roman"/>
          <w:sz w:val="24"/>
          <w:szCs w:val="24"/>
        </w:rPr>
        <w:t>.</w:t>
      </w:r>
    </w:p>
    <w:p w:rsidR="00B44590" w:rsidRPr="00B61D86" w:rsidRDefault="006D6D16" w:rsidP="00B44590">
      <w:pPr>
        <w:ind w:firstLine="540"/>
        <w:jc w:val="both"/>
        <w:rPr>
          <w:rFonts w:eastAsia="Times New Roman"/>
          <w:sz w:val="24"/>
          <w:szCs w:val="24"/>
        </w:rPr>
      </w:pPr>
      <w:r w:rsidRPr="00B61D86">
        <w:rPr>
          <w:rFonts w:eastAsia="Times New Roman"/>
          <w:sz w:val="24"/>
          <w:szCs w:val="24"/>
        </w:rPr>
        <w:t>И</w:t>
      </w:r>
      <w:r w:rsidR="00B44590" w:rsidRPr="00B61D86">
        <w:rPr>
          <w:rFonts w:eastAsia="Times New Roman"/>
          <w:sz w:val="24"/>
          <w:szCs w:val="24"/>
        </w:rPr>
        <w:t xml:space="preserve">сключению из Реестра хозяйствующих субъектов, имеющих на рынке определенного товара долю более чем 35 процентов или занимающих доминирующее положение на рынке определенного товара, если в отношении такого рынка федеральными законами установлены случаи признания </w:t>
      </w:r>
      <w:proofErr w:type="gramStart"/>
      <w:r w:rsidR="00B44590" w:rsidRPr="00B61D86">
        <w:rPr>
          <w:rFonts w:eastAsia="Times New Roman"/>
          <w:sz w:val="24"/>
          <w:szCs w:val="24"/>
        </w:rPr>
        <w:t>доминирующего</w:t>
      </w:r>
      <w:proofErr w:type="gramEnd"/>
      <w:r w:rsidR="00B44590" w:rsidRPr="00B61D86">
        <w:rPr>
          <w:rFonts w:eastAsia="Times New Roman"/>
          <w:sz w:val="24"/>
          <w:szCs w:val="24"/>
        </w:rPr>
        <w:t xml:space="preserve"> положения подлежат </w:t>
      </w:r>
      <w:proofErr w:type="spellStart"/>
      <w:r w:rsidR="00B44590" w:rsidRPr="00B61D86">
        <w:rPr>
          <w:rFonts w:eastAsia="Times New Roman"/>
          <w:sz w:val="24"/>
          <w:szCs w:val="24"/>
        </w:rPr>
        <w:t>хозсубъекты</w:t>
      </w:r>
      <w:proofErr w:type="spellEnd"/>
      <w:r w:rsidR="00B44590" w:rsidRPr="00B61D86">
        <w:rPr>
          <w:rFonts w:eastAsia="Times New Roman"/>
          <w:sz w:val="24"/>
          <w:szCs w:val="24"/>
        </w:rPr>
        <w:t>, чьи доли подвержены значительным изменениям на товарном рынке (более 10%), относительного размера долей на этом товарном рынке, принадлежа</w:t>
      </w:r>
      <w:r w:rsidRPr="00B61D86">
        <w:rPr>
          <w:rFonts w:eastAsia="Times New Roman"/>
          <w:sz w:val="24"/>
          <w:szCs w:val="24"/>
        </w:rPr>
        <w:t>щих конкурентам, приложение 1</w:t>
      </w:r>
      <w:r w:rsidR="005970B9" w:rsidRPr="00B61D86">
        <w:rPr>
          <w:rFonts w:eastAsia="Times New Roman"/>
          <w:sz w:val="24"/>
          <w:szCs w:val="24"/>
        </w:rPr>
        <w:t>2:</w:t>
      </w:r>
    </w:p>
    <w:p w:rsidR="006D6D16" w:rsidRPr="00B61D86" w:rsidRDefault="006D6D16" w:rsidP="006D6D16">
      <w:pPr>
        <w:ind w:firstLine="540"/>
        <w:jc w:val="both"/>
        <w:rPr>
          <w:rFonts w:eastAsia="Times New Roman"/>
          <w:sz w:val="24"/>
          <w:szCs w:val="24"/>
        </w:rPr>
      </w:pPr>
      <w:r w:rsidRPr="00B61D86">
        <w:rPr>
          <w:rFonts w:eastAsia="Times New Roman"/>
          <w:sz w:val="24"/>
          <w:szCs w:val="24"/>
        </w:rPr>
        <w:t xml:space="preserve">- ООО «АЗС-Компании» подлежит исключению из реестра 35% исходя из значительного снижения доли </w:t>
      </w:r>
      <w:proofErr w:type="spellStart"/>
      <w:r w:rsidRPr="00B61D86">
        <w:rPr>
          <w:rFonts w:eastAsia="Times New Roman"/>
          <w:sz w:val="24"/>
          <w:szCs w:val="24"/>
        </w:rPr>
        <w:t>хозсубъекта</w:t>
      </w:r>
      <w:proofErr w:type="spellEnd"/>
      <w:r w:rsidRPr="00B61D86">
        <w:rPr>
          <w:rFonts w:eastAsia="Times New Roman"/>
          <w:sz w:val="24"/>
          <w:szCs w:val="24"/>
        </w:rPr>
        <w:t xml:space="preserve"> в 2012 года – </w:t>
      </w:r>
      <w:proofErr w:type="gramStart"/>
      <w:r w:rsidRPr="00B61D86">
        <w:rPr>
          <w:rFonts w:eastAsia="Times New Roman"/>
          <w:sz w:val="24"/>
          <w:szCs w:val="24"/>
        </w:rPr>
        <w:t>до</w:t>
      </w:r>
      <w:proofErr w:type="gramEnd"/>
      <w:r w:rsidRPr="00B61D86">
        <w:rPr>
          <w:rFonts w:eastAsia="Times New Roman"/>
          <w:sz w:val="24"/>
          <w:szCs w:val="24"/>
        </w:rPr>
        <w:t xml:space="preserve"> </w:t>
      </w:r>
      <w:r w:rsidR="00B61D86">
        <w:rPr>
          <w:rFonts w:eastAsia="Times New Roman"/>
          <w:sz w:val="24"/>
          <w:szCs w:val="24"/>
        </w:rPr>
        <w:t>…</w:t>
      </w:r>
      <w:r w:rsidRPr="00B61D86">
        <w:rPr>
          <w:rFonts w:eastAsia="Times New Roman"/>
          <w:sz w:val="24"/>
          <w:szCs w:val="24"/>
        </w:rPr>
        <w:t>%</w:t>
      </w:r>
      <w:r w:rsidR="00C61B89" w:rsidRPr="00B61D86">
        <w:rPr>
          <w:rFonts w:eastAsia="Times New Roman"/>
          <w:sz w:val="24"/>
          <w:szCs w:val="24"/>
        </w:rPr>
        <w:t>(</w:t>
      </w:r>
      <w:proofErr w:type="gramStart"/>
      <w:r w:rsidR="00C61B89" w:rsidRPr="00B61D86">
        <w:rPr>
          <w:rFonts w:eastAsia="Times New Roman"/>
          <w:sz w:val="24"/>
          <w:szCs w:val="24"/>
        </w:rPr>
        <w:t>в</w:t>
      </w:r>
      <w:proofErr w:type="gramEnd"/>
      <w:r w:rsidR="00C61B89" w:rsidRPr="00B61D86">
        <w:rPr>
          <w:rFonts w:eastAsia="Times New Roman"/>
          <w:sz w:val="24"/>
          <w:szCs w:val="24"/>
        </w:rPr>
        <w:t xml:space="preserve"> географических границах Порецкого района)</w:t>
      </w:r>
      <w:r w:rsidRPr="00B61D86">
        <w:rPr>
          <w:rFonts w:eastAsia="Times New Roman"/>
          <w:sz w:val="24"/>
          <w:szCs w:val="24"/>
        </w:rPr>
        <w:t>;</w:t>
      </w:r>
    </w:p>
    <w:p w:rsidR="006D6D16" w:rsidRPr="00B61D86" w:rsidRDefault="006D6D16" w:rsidP="006D6D16">
      <w:pPr>
        <w:ind w:firstLine="540"/>
        <w:jc w:val="both"/>
        <w:rPr>
          <w:rFonts w:eastAsia="Times New Roman"/>
          <w:sz w:val="24"/>
          <w:szCs w:val="24"/>
        </w:rPr>
      </w:pPr>
      <w:r w:rsidRPr="00B61D86">
        <w:rPr>
          <w:rFonts w:eastAsia="Times New Roman"/>
          <w:sz w:val="24"/>
          <w:szCs w:val="24"/>
        </w:rPr>
        <w:t>- ООО «Татнефть-АЗС Центр», ООО «Лукойл-Волганефтепродукт» подлежат исключению</w:t>
      </w:r>
      <w:r w:rsidR="00C61B89" w:rsidRPr="00B61D86">
        <w:rPr>
          <w:rFonts w:eastAsia="Times New Roman"/>
          <w:sz w:val="24"/>
          <w:szCs w:val="24"/>
        </w:rPr>
        <w:t xml:space="preserve"> из Реестра 35%</w:t>
      </w:r>
      <w:r w:rsidRPr="00B61D86">
        <w:rPr>
          <w:rFonts w:eastAsia="Times New Roman"/>
          <w:sz w:val="24"/>
          <w:szCs w:val="24"/>
        </w:rPr>
        <w:t xml:space="preserve"> исходя из расчетов приложения </w:t>
      </w:r>
      <w:r w:rsidR="005970B9" w:rsidRPr="00B61D86">
        <w:rPr>
          <w:rFonts w:eastAsia="Times New Roman"/>
          <w:sz w:val="24"/>
          <w:szCs w:val="24"/>
        </w:rPr>
        <w:t>9</w:t>
      </w:r>
      <w:r w:rsidRPr="00B61D86">
        <w:rPr>
          <w:rFonts w:eastAsia="Times New Roman"/>
          <w:sz w:val="24"/>
          <w:szCs w:val="24"/>
        </w:rPr>
        <w:t>-1</w:t>
      </w:r>
      <w:r w:rsidR="005970B9" w:rsidRPr="00B61D86">
        <w:rPr>
          <w:rFonts w:eastAsia="Times New Roman"/>
          <w:sz w:val="24"/>
          <w:szCs w:val="24"/>
        </w:rPr>
        <w:t>1</w:t>
      </w:r>
      <w:r w:rsidRPr="00B61D86">
        <w:rPr>
          <w:rFonts w:eastAsia="Times New Roman"/>
          <w:sz w:val="24"/>
          <w:szCs w:val="24"/>
        </w:rPr>
        <w:t>.</w:t>
      </w:r>
    </w:p>
    <w:p w:rsidR="001D4ADC" w:rsidRPr="00B61D86" w:rsidRDefault="001D4ADC" w:rsidP="001C7AD9">
      <w:pPr>
        <w:ind w:firstLine="560"/>
        <w:jc w:val="both"/>
        <w:rPr>
          <w:sz w:val="24"/>
          <w:szCs w:val="24"/>
        </w:rPr>
      </w:pPr>
    </w:p>
    <w:p w:rsidR="00D16FEC" w:rsidRPr="00B61D86" w:rsidRDefault="00D16FEC" w:rsidP="001C7AD9">
      <w:pPr>
        <w:shd w:val="clear" w:color="auto" w:fill="FFFFFF"/>
        <w:ind w:right="979"/>
        <w:rPr>
          <w:sz w:val="24"/>
          <w:szCs w:val="24"/>
        </w:rPr>
      </w:pPr>
    </w:p>
    <w:sectPr w:rsidR="00D16FEC" w:rsidRPr="00B61D86" w:rsidSect="00B175C1">
      <w:footerReference w:type="default" r:id="rId57"/>
      <w:pgSz w:w="11906" w:h="16838"/>
      <w:pgMar w:top="1021" w:right="510" w:bottom="1021" w:left="102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10" w:rsidRDefault="007B6610" w:rsidP="004A1C7C">
      <w:r>
        <w:separator/>
      </w:r>
    </w:p>
  </w:endnote>
  <w:endnote w:type="continuationSeparator" w:id="0">
    <w:p w:rsidR="007B6610" w:rsidRDefault="007B6610" w:rsidP="004A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593644"/>
      <w:docPartObj>
        <w:docPartGallery w:val="Page Numbers (Bottom of Page)"/>
        <w:docPartUnique/>
      </w:docPartObj>
    </w:sdtPr>
    <w:sdtEndPr/>
    <w:sdtContent>
      <w:p w:rsidR="00D36339" w:rsidRDefault="00D36339">
        <w:pPr>
          <w:pStyle w:val="a8"/>
          <w:jc w:val="center"/>
        </w:pPr>
        <w:r>
          <w:fldChar w:fldCharType="begin"/>
        </w:r>
        <w:r>
          <w:instrText>PAGE   \* MERGEFORMAT</w:instrText>
        </w:r>
        <w:r>
          <w:fldChar w:fldCharType="separate"/>
        </w:r>
        <w:r w:rsidR="007A6571">
          <w:rPr>
            <w:noProof/>
          </w:rPr>
          <w:t>9</w:t>
        </w:r>
        <w:r>
          <w:fldChar w:fldCharType="end"/>
        </w:r>
      </w:p>
    </w:sdtContent>
  </w:sdt>
  <w:p w:rsidR="00D36339" w:rsidRDefault="00D363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10" w:rsidRDefault="007B6610" w:rsidP="004A1C7C">
      <w:r>
        <w:separator/>
      </w:r>
    </w:p>
  </w:footnote>
  <w:footnote w:type="continuationSeparator" w:id="0">
    <w:p w:rsidR="007B6610" w:rsidRDefault="007B6610" w:rsidP="004A1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CE326C"/>
    <w:lvl w:ilvl="0">
      <w:numFmt w:val="bullet"/>
      <w:lvlText w:val="*"/>
      <w:lvlJc w:val="left"/>
    </w:lvl>
  </w:abstractNum>
  <w:abstractNum w:abstractNumId="1">
    <w:nsid w:val="023F538E"/>
    <w:multiLevelType w:val="hybridMultilevel"/>
    <w:tmpl w:val="646AB510"/>
    <w:lvl w:ilvl="0" w:tplc="C2942BF2">
      <w:start w:val="1"/>
      <w:numFmt w:val="upperRoman"/>
      <w:lvlText w:val="%1."/>
      <w:lvlJc w:val="left"/>
      <w:pPr>
        <w:ind w:left="4558" w:hanging="720"/>
      </w:pPr>
      <w:rPr>
        <w:rFonts w:eastAsiaTheme="minorEastAsia" w:hint="default"/>
      </w:rPr>
    </w:lvl>
    <w:lvl w:ilvl="1" w:tplc="04190019" w:tentative="1">
      <w:start w:val="1"/>
      <w:numFmt w:val="lowerLetter"/>
      <w:lvlText w:val="%2."/>
      <w:lvlJc w:val="left"/>
      <w:pPr>
        <w:ind w:left="4918" w:hanging="360"/>
      </w:pPr>
    </w:lvl>
    <w:lvl w:ilvl="2" w:tplc="0419001B" w:tentative="1">
      <w:start w:val="1"/>
      <w:numFmt w:val="lowerRoman"/>
      <w:lvlText w:val="%3."/>
      <w:lvlJc w:val="right"/>
      <w:pPr>
        <w:ind w:left="5638" w:hanging="180"/>
      </w:pPr>
    </w:lvl>
    <w:lvl w:ilvl="3" w:tplc="0419000F" w:tentative="1">
      <w:start w:val="1"/>
      <w:numFmt w:val="decimal"/>
      <w:lvlText w:val="%4."/>
      <w:lvlJc w:val="left"/>
      <w:pPr>
        <w:ind w:left="6358" w:hanging="360"/>
      </w:pPr>
    </w:lvl>
    <w:lvl w:ilvl="4" w:tplc="04190019" w:tentative="1">
      <w:start w:val="1"/>
      <w:numFmt w:val="lowerLetter"/>
      <w:lvlText w:val="%5."/>
      <w:lvlJc w:val="left"/>
      <w:pPr>
        <w:ind w:left="7078" w:hanging="360"/>
      </w:pPr>
    </w:lvl>
    <w:lvl w:ilvl="5" w:tplc="0419001B" w:tentative="1">
      <w:start w:val="1"/>
      <w:numFmt w:val="lowerRoman"/>
      <w:lvlText w:val="%6."/>
      <w:lvlJc w:val="right"/>
      <w:pPr>
        <w:ind w:left="7798" w:hanging="180"/>
      </w:pPr>
    </w:lvl>
    <w:lvl w:ilvl="6" w:tplc="0419000F" w:tentative="1">
      <w:start w:val="1"/>
      <w:numFmt w:val="decimal"/>
      <w:lvlText w:val="%7."/>
      <w:lvlJc w:val="left"/>
      <w:pPr>
        <w:ind w:left="8518" w:hanging="360"/>
      </w:pPr>
    </w:lvl>
    <w:lvl w:ilvl="7" w:tplc="04190019" w:tentative="1">
      <w:start w:val="1"/>
      <w:numFmt w:val="lowerLetter"/>
      <w:lvlText w:val="%8."/>
      <w:lvlJc w:val="left"/>
      <w:pPr>
        <w:ind w:left="9238" w:hanging="360"/>
      </w:pPr>
    </w:lvl>
    <w:lvl w:ilvl="8" w:tplc="0419001B" w:tentative="1">
      <w:start w:val="1"/>
      <w:numFmt w:val="lowerRoman"/>
      <w:lvlText w:val="%9."/>
      <w:lvlJc w:val="right"/>
      <w:pPr>
        <w:ind w:left="9958" w:hanging="180"/>
      </w:pPr>
    </w:lvl>
  </w:abstractNum>
  <w:abstractNum w:abstractNumId="2">
    <w:nsid w:val="6A297E6A"/>
    <w:multiLevelType w:val="hybridMultilevel"/>
    <w:tmpl w:val="F30E1A52"/>
    <w:lvl w:ilvl="0" w:tplc="FFBC7BC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252"/>
        <w:lvlJc w:val="left"/>
        <w:rPr>
          <w:rFonts w:ascii="Times New Roman" w:hAnsi="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4ADC"/>
    <w:rsid w:val="000070E2"/>
    <w:rsid w:val="000472F3"/>
    <w:rsid w:val="001C5A67"/>
    <w:rsid w:val="001C7AD9"/>
    <w:rsid w:val="001D4ADC"/>
    <w:rsid w:val="0021339E"/>
    <w:rsid w:val="002A4A29"/>
    <w:rsid w:val="003210E7"/>
    <w:rsid w:val="003313EF"/>
    <w:rsid w:val="0036240D"/>
    <w:rsid w:val="003A3D41"/>
    <w:rsid w:val="003F5048"/>
    <w:rsid w:val="004A1C7C"/>
    <w:rsid w:val="004D1209"/>
    <w:rsid w:val="0057305B"/>
    <w:rsid w:val="00581150"/>
    <w:rsid w:val="005970B9"/>
    <w:rsid w:val="005F2E13"/>
    <w:rsid w:val="00663FBB"/>
    <w:rsid w:val="006868D7"/>
    <w:rsid w:val="006A0703"/>
    <w:rsid w:val="006D6D16"/>
    <w:rsid w:val="006E20AD"/>
    <w:rsid w:val="006F148D"/>
    <w:rsid w:val="007A6571"/>
    <w:rsid w:val="007B6610"/>
    <w:rsid w:val="007E55BA"/>
    <w:rsid w:val="009436F5"/>
    <w:rsid w:val="00965D73"/>
    <w:rsid w:val="00971435"/>
    <w:rsid w:val="009A307B"/>
    <w:rsid w:val="009F4BE8"/>
    <w:rsid w:val="009F5138"/>
    <w:rsid w:val="00A32169"/>
    <w:rsid w:val="00AF39F5"/>
    <w:rsid w:val="00B175C1"/>
    <w:rsid w:val="00B44590"/>
    <w:rsid w:val="00B61D86"/>
    <w:rsid w:val="00C422D6"/>
    <w:rsid w:val="00C61B89"/>
    <w:rsid w:val="00C82A64"/>
    <w:rsid w:val="00C87C36"/>
    <w:rsid w:val="00D16FEC"/>
    <w:rsid w:val="00D34D11"/>
    <w:rsid w:val="00D36339"/>
    <w:rsid w:val="00D67A3F"/>
    <w:rsid w:val="00E05672"/>
    <w:rsid w:val="00E12170"/>
    <w:rsid w:val="00E509D1"/>
    <w:rsid w:val="00F267BC"/>
    <w:rsid w:val="00F54FF5"/>
    <w:rsid w:val="00FB413E"/>
    <w:rsid w:val="00FE6EFF"/>
    <w:rsid w:val="00FF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DC"/>
    <w:pPr>
      <w:widowControl w:val="0"/>
      <w:autoSpaceDE w:val="0"/>
      <w:autoSpaceDN w:val="0"/>
      <w:adjustRightInd w:val="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ADC"/>
    <w:rPr>
      <w:rFonts w:asciiTheme="minorHAnsi" w:eastAsiaTheme="minorEastAsia" w:hAnsiTheme="minorHAns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1D4ADC"/>
    <w:rPr>
      <w:color w:val="0000FF"/>
      <w:u w:val="single"/>
    </w:rPr>
  </w:style>
  <w:style w:type="paragraph" w:styleId="a5">
    <w:name w:val="Normal (Web)"/>
    <w:basedOn w:val="a"/>
    <w:uiPriority w:val="99"/>
    <w:rsid w:val="001D4ADC"/>
    <w:pPr>
      <w:widowControl/>
      <w:autoSpaceDE/>
      <w:autoSpaceDN/>
      <w:adjustRightInd/>
      <w:spacing w:before="100" w:beforeAutospacing="1" w:after="100" w:afterAutospacing="1"/>
    </w:pPr>
    <w:rPr>
      <w:rFonts w:eastAsia="Times New Roman"/>
      <w:sz w:val="24"/>
      <w:szCs w:val="24"/>
    </w:rPr>
  </w:style>
  <w:style w:type="paragraph" w:styleId="a6">
    <w:name w:val="header"/>
    <w:basedOn w:val="a"/>
    <w:link w:val="a7"/>
    <w:uiPriority w:val="99"/>
    <w:unhideWhenUsed/>
    <w:rsid w:val="004A1C7C"/>
    <w:pPr>
      <w:tabs>
        <w:tab w:val="center" w:pos="4677"/>
        <w:tab w:val="right" w:pos="9355"/>
      </w:tabs>
    </w:pPr>
  </w:style>
  <w:style w:type="character" w:customStyle="1" w:styleId="a7">
    <w:name w:val="Верхний колонтитул Знак"/>
    <w:basedOn w:val="a0"/>
    <w:link w:val="a6"/>
    <w:uiPriority w:val="99"/>
    <w:rsid w:val="004A1C7C"/>
    <w:rPr>
      <w:rFonts w:eastAsiaTheme="minorEastAsia"/>
      <w:lang w:eastAsia="ru-RU"/>
    </w:rPr>
  </w:style>
  <w:style w:type="paragraph" w:styleId="a8">
    <w:name w:val="footer"/>
    <w:basedOn w:val="a"/>
    <w:link w:val="a9"/>
    <w:uiPriority w:val="99"/>
    <w:unhideWhenUsed/>
    <w:rsid w:val="004A1C7C"/>
    <w:pPr>
      <w:tabs>
        <w:tab w:val="center" w:pos="4677"/>
        <w:tab w:val="right" w:pos="9355"/>
      </w:tabs>
    </w:pPr>
  </w:style>
  <w:style w:type="character" w:customStyle="1" w:styleId="a9">
    <w:name w:val="Нижний колонтитул Знак"/>
    <w:basedOn w:val="a0"/>
    <w:link w:val="a8"/>
    <w:uiPriority w:val="99"/>
    <w:rsid w:val="004A1C7C"/>
    <w:rPr>
      <w:rFonts w:eastAsiaTheme="minorEastAsia"/>
      <w:lang w:eastAsia="ru-RU"/>
    </w:rPr>
  </w:style>
  <w:style w:type="character" w:customStyle="1" w:styleId="apple-converted-space">
    <w:name w:val="apple-converted-space"/>
    <w:rsid w:val="00E05672"/>
  </w:style>
  <w:style w:type="paragraph" w:styleId="aa">
    <w:name w:val="List Paragraph"/>
    <w:basedOn w:val="a"/>
    <w:uiPriority w:val="34"/>
    <w:qFormat/>
    <w:rsid w:val="00E05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DC"/>
    <w:pPr>
      <w:widowControl w:val="0"/>
      <w:autoSpaceDE w:val="0"/>
      <w:autoSpaceDN w:val="0"/>
      <w:adjustRightInd w:val="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ADC"/>
    <w:rPr>
      <w:rFonts w:asciiTheme="minorHAnsi" w:eastAsiaTheme="minorEastAsia" w:hAnsiTheme="minorHAns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1D4ADC"/>
    <w:rPr>
      <w:color w:val="0000FF"/>
      <w:u w:val="single"/>
    </w:rPr>
  </w:style>
  <w:style w:type="paragraph" w:styleId="a5">
    <w:name w:val="Normal (Web)"/>
    <w:basedOn w:val="a"/>
    <w:rsid w:val="001D4ADC"/>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b.ru/chuvashia/alikovo.htm" TargetMode="External"/><Relationship Id="rId18" Type="http://schemas.openxmlformats.org/officeDocument/2006/relationships/hyperlink" Target="http://www.cheb.ru/chuvashia/kozlovka.htm" TargetMode="External"/><Relationship Id="rId26" Type="http://schemas.openxmlformats.org/officeDocument/2006/relationships/hyperlink" Target="http://www.cheb.ru/chuvashia/civilsk.htm" TargetMode="External"/><Relationship Id="rId39" Type="http://schemas.openxmlformats.org/officeDocument/2006/relationships/hyperlink" Target="http://www.cheb.ru/chuvashia/batyrevo.htm" TargetMode="External"/><Relationship Id="rId21" Type="http://schemas.openxmlformats.org/officeDocument/2006/relationships/hyperlink" Target="http://www.cheb.ru/chuvashia/krasnochetai.htm" TargetMode="External"/><Relationship Id="rId34" Type="http://schemas.openxmlformats.org/officeDocument/2006/relationships/hyperlink" Target="http://www.smi21.ru/?mode=publication&amp;path=publication,orgs&amp;orgs=25&amp;publication=151871&amp;p_date=25.01.2008&amp;date=28.01.2008&amp;p_page=402" TargetMode="External"/><Relationship Id="rId42" Type="http://schemas.openxmlformats.org/officeDocument/2006/relationships/hyperlink" Target="http://www.cheb.ru/chuvashia/kanash.htm" TargetMode="External"/><Relationship Id="rId47" Type="http://schemas.openxmlformats.org/officeDocument/2006/relationships/hyperlink" Target="http://www.cheb.ru/chuvashia/marposad.htm" TargetMode="External"/><Relationship Id="rId50" Type="http://schemas.openxmlformats.org/officeDocument/2006/relationships/hyperlink" Target="http://www.cheb.ru/chuvashia/urmary.htm" TargetMode="External"/><Relationship Id="rId55" Type="http://schemas.openxmlformats.org/officeDocument/2006/relationships/hyperlink" Target="http://www.cheb.ru/chuvashia/yalchiki.htm" TargetMode="External"/><Relationship Id="rId7" Type="http://schemas.openxmlformats.org/officeDocument/2006/relationships/endnotes" Target="endnotes.xml"/><Relationship Id="rId12" Type="http://schemas.openxmlformats.org/officeDocument/2006/relationships/hyperlink" Target="http://www.cheb.ru/chuvashia/alatyr.htm" TargetMode="External"/><Relationship Id="rId17" Type="http://schemas.openxmlformats.org/officeDocument/2006/relationships/hyperlink" Target="http://www.cheb.ru/chuvashia/kanash.htm" TargetMode="External"/><Relationship Id="rId25" Type="http://schemas.openxmlformats.org/officeDocument/2006/relationships/hyperlink" Target="http://www.cheb.ru/chuvashia/urmary.htm" TargetMode="External"/><Relationship Id="rId33" Type="http://schemas.openxmlformats.org/officeDocument/2006/relationships/hyperlink" Target="http://www.volgainform.ru/allnews/947740/" TargetMode="External"/><Relationship Id="rId38" Type="http://schemas.openxmlformats.org/officeDocument/2006/relationships/hyperlink" Target="http://www.cheb.ru/chuvashia/alikovo.htm" TargetMode="External"/><Relationship Id="rId46" Type="http://schemas.openxmlformats.org/officeDocument/2006/relationships/hyperlink" Target="http://www.cheb.ru/chuvashia/krasnochetai.ht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eb.ru/chuvashia/ibresi.htm" TargetMode="External"/><Relationship Id="rId20" Type="http://schemas.openxmlformats.org/officeDocument/2006/relationships/hyperlink" Target="http://www.cheb.ru/chuvashia/krasnoarmysk.htm" TargetMode="External"/><Relationship Id="rId29" Type="http://schemas.openxmlformats.org/officeDocument/2006/relationships/hyperlink" Target="http://www.cheb.ru/chuvashia/shumerla.htm" TargetMode="External"/><Relationship Id="rId41" Type="http://schemas.openxmlformats.org/officeDocument/2006/relationships/hyperlink" Target="http://www.cheb.ru/chuvashia/ibresi.htm" TargetMode="External"/><Relationship Id="rId54" Type="http://schemas.openxmlformats.org/officeDocument/2006/relationships/hyperlink" Target="http://www.cheb.ru/chuvashia/yadri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1%D0%B5%D0%BB%D1%8C%D1%81%D0%BA%D0%B8%D0%B9_%D0%BD%D0%B0%D1%81%D0%B5%D0%BB%D0%B5%D0%BD%D0%BD%D1%8B%D0%B9_%D0%BF%D1%83%D0%BD%D0%BA%D1%82" TargetMode="External"/><Relationship Id="rId24" Type="http://schemas.openxmlformats.org/officeDocument/2006/relationships/hyperlink" Target="http://www.cheb.ru/chuvashia/poreck.htm" TargetMode="External"/><Relationship Id="rId32" Type="http://schemas.openxmlformats.org/officeDocument/2006/relationships/hyperlink" Target="http://www.cheb.ru/chuvashia/yantikovo.htm" TargetMode="External"/><Relationship Id="rId37" Type="http://schemas.openxmlformats.org/officeDocument/2006/relationships/hyperlink" Target="http://www.gov.cap.ru/hierarhy.asp?page=./299/362/16339/16340/16362/16365/16377" TargetMode="External"/><Relationship Id="rId40" Type="http://schemas.openxmlformats.org/officeDocument/2006/relationships/hyperlink" Target="http://www.cheb.ru/chuvashia/vurnary.htm" TargetMode="External"/><Relationship Id="rId45" Type="http://schemas.openxmlformats.org/officeDocument/2006/relationships/hyperlink" Target="http://www.cheb.ru/chuvashia/krasnoarmysk.htm" TargetMode="External"/><Relationship Id="rId53" Type="http://schemas.openxmlformats.org/officeDocument/2006/relationships/hyperlink" Target="http://www.cheb.ru/chuvashia/shumerla.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eb.ru/chuvashia/vurnary.htm" TargetMode="External"/><Relationship Id="rId23" Type="http://schemas.openxmlformats.org/officeDocument/2006/relationships/hyperlink" Target="http://www.cheb.ru/chuvashia/morgaushy.htm" TargetMode="External"/><Relationship Id="rId28" Type="http://schemas.openxmlformats.org/officeDocument/2006/relationships/hyperlink" Target="http://www.cheb.ru/chuvashia/shemursha.htm" TargetMode="External"/><Relationship Id="rId36" Type="http://schemas.openxmlformats.org/officeDocument/2006/relationships/hyperlink" Target="http://www.cap.ru/home/93/000/pu27/history.html" TargetMode="External"/><Relationship Id="rId49" Type="http://schemas.openxmlformats.org/officeDocument/2006/relationships/hyperlink" Target="http://www.cheb.ru/chuvashia/poreck.htm" TargetMode="External"/><Relationship Id="rId57" Type="http://schemas.openxmlformats.org/officeDocument/2006/relationships/footer" Target="footer1.xml"/><Relationship Id="rId10" Type="http://schemas.openxmlformats.org/officeDocument/2006/relationships/hyperlink" Target="http://ru.wikipedia.org/wiki/%D0%9F%D0%BE%D1%81%D1%91%D0%BB%D0%BE%D0%BA" TargetMode="External"/><Relationship Id="rId19" Type="http://schemas.openxmlformats.org/officeDocument/2006/relationships/hyperlink" Target="http://www.cheb.ru/chuvashia/komsomolsk.htm" TargetMode="External"/><Relationship Id="rId31" Type="http://schemas.openxmlformats.org/officeDocument/2006/relationships/hyperlink" Target="http://www.cheb.ru/chuvashia/yalchiki.htm" TargetMode="External"/><Relationship Id="rId44" Type="http://schemas.openxmlformats.org/officeDocument/2006/relationships/hyperlink" Target="http://www.cheb.ru/chuvashia/komsomolsk.htm" TargetMode="External"/><Relationship Id="rId52" Type="http://schemas.openxmlformats.org/officeDocument/2006/relationships/hyperlink" Target="http://www.cheb.ru/chuvashia/shemursha.htm" TargetMode="External"/><Relationship Id="rId4" Type="http://schemas.openxmlformats.org/officeDocument/2006/relationships/settings" Target="settings.xml"/><Relationship Id="rId9" Type="http://schemas.openxmlformats.org/officeDocument/2006/relationships/hyperlink" Target="http://ru.wikipedia.org/wiki/%D0%93%D0%BE%D1%80%D0%BE%D0%B4" TargetMode="External"/><Relationship Id="rId14" Type="http://schemas.openxmlformats.org/officeDocument/2006/relationships/hyperlink" Target="http://www.cheb.ru/chuvashia/batyrevo.htm" TargetMode="External"/><Relationship Id="rId22" Type="http://schemas.openxmlformats.org/officeDocument/2006/relationships/hyperlink" Target="http://www.cheb.ru/chuvashia/marposad.htm" TargetMode="External"/><Relationship Id="rId27" Type="http://schemas.openxmlformats.org/officeDocument/2006/relationships/hyperlink" Target="http://www.cheb.ru/chuvashia/chebrajon.htm" TargetMode="External"/><Relationship Id="rId30" Type="http://schemas.openxmlformats.org/officeDocument/2006/relationships/hyperlink" Target="http://www.cheb.ru/chuvashia/yadrin.htm" TargetMode="External"/><Relationship Id="rId35" Type="http://schemas.openxmlformats.org/officeDocument/2006/relationships/hyperlink" Target="http://www.gov.cap.ru/hierarhy.asp?page=./11848/28975/30954/433873/436533/436636" TargetMode="External"/><Relationship Id="rId43" Type="http://schemas.openxmlformats.org/officeDocument/2006/relationships/hyperlink" Target="http://www.cheb.ru/chuvashia/kozlovka.htm" TargetMode="External"/><Relationship Id="rId48" Type="http://schemas.openxmlformats.org/officeDocument/2006/relationships/hyperlink" Target="http://www.cheb.ru/chuvashia/morgaushy.htm" TargetMode="External"/><Relationship Id="rId56" Type="http://schemas.openxmlformats.org/officeDocument/2006/relationships/hyperlink" Target="http://www.cheb.ru/chuvashia/yantikovo.htm" TargetMode="External"/><Relationship Id="rId8" Type="http://schemas.openxmlformats.org/officeDocument/2006/relationships/hyperlink" Target="http://ru.wikipedia.org/wiki/%D0%A0%D0%B0%D0%B9%D0%BE%D0%BD" TargetMode="External"/><Relationship Id="rId51" Type="http://schemas.openxmlformats.org/officeDocument/2006/relationships/hyperlink" Target="http://www.cheb.ru/chuvashia/civilsk.ht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9</Pages>
  <Words>4725</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dc:creator>
  <cp:lastModifiedBy>Моисеева</cp:lastModifiedBy>
  <cp:revision>26</cp:revision>
  <cp:lastPrinted>2013-09-30T13:02:00Z</cp:lastPrinted>
  <dcterms:created xsi:type="dcterms:W3CDTF">2013-09-12T10:36:00Z</dcterms:created>
  <dcterms:modified xsi:type="dcterms:W3CDTF">2013-12-11T09:52:00Z</dcterms:modified>
</cp:coreProperties>
</file>