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F5" w:rsidRDefault="00B5305C" w:rsidP="008C2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24.07.2012 № 05-05/5290</w:t>
      </w:r>
      <w:bookmarkStart w:id="0" w:name="_GoBack"/>
      <w:bookmarkEnd w:id="0"/>
    </w:p>
    <w:p w:rsidR="008C24F5" w:rsidRDefault="008C24F5" w:rsidP="008C2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4F5" w:rsidRDefault="008C24F5" w:rsidP="008C2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4F5" w:rsidRDefault="008C24F5" w:rsidP="008C2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4F5" w:rsidRDefault="008C24F5" w:rsidP="008C2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4F5" w:rsidRDefault="008C24F5" w:rsidP="008C2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4F5" w:rsidRPr="008C24F5" w:rsidRDefault="008C24F5" w:rsidP="008C2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4F5" w:rsidRPr="008C24F5" w:rsidRDefault="008C24F5" w:rsidP="008C2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4F5" w:rsidRPr="008C24F5" w:rsidRDefault="008C24F5" w:rsidP="008C2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24F5" w:rsidRPr="008C24F5" w:rsidRDefault="008C24F5" w:rsidP="008C2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24F5" w:rsidRPr="008C24F5" w:rsidRDefault="008C24F5" w:rsidP="008C2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24F5" w:rsidRPr="008C24F5" w:rsidRDefault="008C24F5" w:rsidP="008C2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24F5" w:rsidRPr="008C24F5" w:rsidRDefault="008C24F5" w:rsidP="008C2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C24F5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8C24F5" w:rsidRPr="008C24F5" w:rsidRDefault="008C24F5" w:rsidP="008C2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24F5" w:rsidRPr="008C24F5" w:rsidRDefault="008C24F5" w:rsidP="008C24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83</w:t>
      </w:r>
      <w:r w:rsidRPr="008C24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/05-АМЗ-2012                                                                                </w:t>
      </w:r>
      <w:r w:rsidRPr="008C24F5">
        <w:rPr>
          <w:rFonts w:ascii="Times New Roman" w:eastAsia="Times New Roman" w:hAnsi="Times New Roman" w:cs="Times New Roman"/>
          <w:sz w:val="26"/>
          <w:szCs w:val="26"/>
          <w:lang w:eastAsia="ru-RU"/>
        </w:rPr>
        <w:t>г. Чебоксары</w:t>
      </w:r>
    </w:p>
    <w:p w:rsidR="008C24F5" w:rsidRPr="008C24F5" w:rsidRDefault="008C24F5" w:rsidP="008C2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24F5" w:rsidRPr="008C24F5" w:rsidRDefault="008C24F5" w:rsidP="008C24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Резолютивная часть решения оглашена </w:t>
      </w:r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8C2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 2012 года.</w:t>
      </w:r>
    </w:p>
    <w:p w:rsidR="008C24F5" w:rsidRPr="008C24F5" w:rsidRDefault="008C24F5" w:rsidP="008C24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изготовлено в полном объеме </w:t>
      </w:r>
      <w:r w:rsidR="00E422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 </w:t>
      </w:r>
      <w:r w:rsidRPr="008C2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2012 года.</w:t>
      </w:r>
    </w:p>
    <w:p w:rsidR="008C24F5" w:rsidRPr="008C24F5" w:rsidRDefault="008C24F5" w:rsidP="008C2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24F5" w:rsidRDefault="008C24F5" w:rsidP="008C24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8C24F5">
        <w:rPr>
          <w:rFonts w:ascii="Times New Roman" w:eastAsia="Times New Roman" w:hAnsi="Times New Roman" w:cs="Times New Roman"/>
          <w:noProof/>
          <w:sz w:val="26"/>
          <w:szCs w:val="26"/>
        </w:rPr>
        <w:t>Комиссия  Управления Федеральной антимонопольной службы по Чувашской Республике - Чувашии по рассмотрению  дела  о  нарушении   антимонопольного   законодательства (далее - Комиссия) в составе:</w:t>
      </w:r>
    </w:p>
    <w:p w:rsidR="00E23044" w:rsidRPr="008C24F5" w:rsidRDefault="00E23044" w:rsidP="008C24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tbl>
      <w:tblPr>
        <w:tblStyle w:val="a8"/>
        <w:tblW w:w="9141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60"/>
        <w:gridCol w:w="6120"/>
      </w:tblGrid>
      <w:tr w:rsidR="008C24F5" w:rsidRPr="008C24F5" w:rsidTr="00E42296">
        <w:tc>
          <w:tcPr>
            <w:tcW w:w="2661" w:type="dxa"/>
          </w:tcPr>
          <w:p w:rsidR="008C24F5" w:rsidRPr="008C24F5" w:rsidRDefault="008C24F5" w:rsidP="008C24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C24F5">
              <w:rPr>
                <w:sz w:val="26"/>
                <w:szCs w:val="26"/>
              </w:rPr>
              <w:t xml:space="preserve">   </w:t>
            </w:r>
            <w:proofErr w:type="spellStart"/>
            <w:r w:rsidRPr="008C24F5">
              <w:rPr>
                <w:sz w:val="26"/>
                <w:szCs w:val="26"/>
              </w:rPr>
              <w:t>Котеева</w:t>
            </w:r>
            <w:proofErr w:type="spellEnd"/>
            <w:r w:rsidRPr="008C24F5"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360" w:type="dxa"/>
          </w:tcPr>
          <w:p w:rsidR="008C24F5" w:rsidRPr="008C24F5" w:rsidRDefault="008C24F5" w:rsidP="008C24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8C24F5">
              <w:rPr>
                <w:sz w:val="26"/>
                <w:szCs w:val="26"/>
              </w:rPr>
              <w:t>-</w:t>
            </w:r>
          </w:p>
        </w:tc>
        <w:tc>
          <w:tcPr>
            <w:tcW w:w="6120" w:type="dxa"/>
          </w:tcPr>
          <w:p w:rsidR="008C24F5" w:rsidRPr="008C24F5" w:rsidRDefault="008C24F5" w:rsidP="008C24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8C24F5">
              <w:rPr>
                <w:sz w:val="26"/>
                <w:szCs w:val="26"/>
              </w:rPr>
              <w:t>Зам</w:t>
            </w:r>
            <w:proofErr w:type="gramStart"/>
            <w:r w:rsidRPr="008C24F5">
              <w:rPr>
                <w:sz w:val="26"/>
                <w:szCs w:val="26"/>
              </w:rPr>
              <w:t>.р</w:t>
            </w:r>
            <w:proofErr w:type="gramEnd"/>
            <w:r w:rsidRPr="008C24F5">
              <w:rPr>
                <w:sz w:val="26"/>
                <w:szCs w:val="26"/>
              </w:rPr>
              <w:t>уководителя</w:t>
            </w:r>
            <w:proofErr w:type="spellEnd"/>
            <w:r w:rsidRPr="008C24F5">
              <w:rPr>
                <w:sz w:val="26"/>
                <w:szCs w:val="26"/>
              </w:rPr>
              <w:t xml:space="preserve"> управления (председатель Коми</w:t>
            </w:r>
            <w:r w:rsidRPr="008C24F5">
              <w:rPr>
                <w:sz w:val="26"/>
                <w:szCs w:val="26"/>
              </w:rPr>
              <w:t>с</w:t>
            </w:r>
            <w:r w:rsidRPr="008C24F5">
              <w:rPr>
                <w:sz w:val="26"/>
                <w:szCs w:val="26"/>
              </w:rPr>
              <w:t>сии);</w:t>
            </w:r>
          </w:p>
        </w:tc>
      </w:tr>
      <w:tr w:rsidR="008C24F5" w:rsidRPr="008C24F5" w:rsidTr="00E42296">
        <w:tc>
          <w:tcPr>
            <w:tcW w:w="2661" w:type="dxa"/>
          </w:tcPr>
          <w:p w:rsidR="008C24F5" w:rsidRPr="008C24F5" w:rsidRDefault="008C24F5" w:rsidP="008C24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C24F5">
              <w:rPr>
                <w:sz w:val="26"/>
                <w:szCs w:val="26"/>
              </w:rPr>
              <w:t xml:space="preserve">   Даниловой С.Г.</w:t>
            </w:r>
          </w:p>
        </w:tc>
        <w:tc>
          <w:tcPr>
            <w:tcW w:w="360" w:type="dxa"/>
          </w:tcPr>
          <w:p w:rsidR="008C24F5" w:rsidRPr="008C24F5" w:rsidRDefault="008C24F5" w:rsidP="008C24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8C24F5">
              <w:rPr>
                <w:sz w:val="26"/>
                <w:szCs w:val="26"/>
              </w:rPr>
              <w:t>-</w:t>
            </w:r>
          </w:p>
        </w:tc>
        <w:tc>
          <w:tcPr>
            <w:tcW w:w="6120" w:type="dxa"/>
          </w:tcPr>
          <w:p w:rsidR="008C24F5" w:rsidRPr="008C24F5" w:rsidRDefault="008C24F5" w:rsidP="008C24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C24F5">
              <w:rPr>
                <w:sz w:val="26"/>
                <w:szCs w:val="26"/>
              </w:rPr>
              <w:t>начальника  отдела контроля органов власти и по борьбе  с картелями (член Комиссии);</w:t>
            </w:r>
          </w:p>
        </w:tc>
      </w:tr>
      <w:tr w:rsidR="008C24F5" w:rsidRPr="008C24F5" w:rsidTr="00E42296">
        <w:tc>
          <w:tcPr>
            <w:tcW w:w="2661" w:type="dxa"/>
          </w:tcPr>
          <w:p w:rsidR="008C24F5" w:rsidRPr="008C24F5" w:rsidRDefault="008C24F5" w:rsidP="008C24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C24F5">
              <w:rPr>
                <w:sz w:val="26"/>
                <w:szCs w:val="26"/>
              </w:rPr>
              <w:t xml:space="preserve">   Давыдовой Н.А.</w:t>
            </w:r>
          </w:p>
        </w:tc>
        <w:tc>
          <w:tcPr>
            <w:tcW w:w="360" w:type="dxa"/>
          </w:tcPr>
          <w:p w:rsidR="008C24F5" w:rsidRPr="008C24F5" w:rsidRDefault="008C24F5" w:rsidP="008C24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8C24F5">
              <w:rPr>
                <w:sz w:val="26"/>
                <w:szCs w:val="26"/>
              </w:rPr>
              <w:t>-</w:t>
            </w:r>
          </w:p>
        </w:tc>
        <w:tc>
          <w:tcPr>
            <w:tcW w:w="6120" w:type="dxa"/>
          </w:tcPr>
          <w:p w:rsidR="008C24F5" w:rsidRPr="008C24F5" w:rsidRDefault="008C24F5" w:rsidP="008C24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C24F5">
              <w:rPr>
                <w:sz w:val="26"/>
                <w:szCs w:val="26"/>
              </w:rPr>
              <w:t>специалиста-эксперта отдела  контроля органов вл</w:t>
            </w:r>
            <w:r w:rsidRPr="008C24F5">
              <w:rPr>
                <w:sz w:val="26"/>
                <w:szCs w:val="26"/>
              </w:rPr>
              <w:t>а</w:t>
            </w:r>
            <w:r w:rsidRPr="008C24F5">
              <w:rPr>
                <w:sz w:val="26"/>
                <w:szCs w:val="26"/>
              </w:rPr>
              <w:t>сти и по борьбе с картелями (член Комиссии);</w:t>
            </w:r>
          </w:p>
        </w:tc>
      </w:tr>
    </w:tbl>
    <w:p w:rsidR="00E23044" w:rsidRDefault="00E23044" w:rsidP="008C24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4F5" w:rsidRPr="008C24F5" w:rsidRDefault="008C24F5" w:rsidP="008C24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4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участии в заседании:</w:t>
      </w:r>
    </w:p>
    <w:p w:rsidR="008C24F5" w:rsidRPr="008C24F5" w:rsidRDefault="008C24F5" w:rsidP="008C24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Администрации </w:t>
      </w:r>
      <w:proofErr w:type="spellStart"/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Моргаушского</w:t>
      </w:r>
      <w:proofErr w:type="spellEnd"/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8C2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Захарова Ильи Николаевича</w:t>
      </w:r>
      <w:r w:rsidRPr="008C2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доверенности);</w:t>
      </w:r>
    </w:p>
    <w:p w:rsidR="008C24F5" w:rsidRPr="008C24F5" w:rsidRDefault="008C24F5" w:rsidP="008C24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СПОССК «Крис</w:t>
      </w:r>
      <w:r w:rsidR="00FD516B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талл плюс»</w:t>
      </w:r>
      <w:r w:rsidRPr="008C2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="00FD516B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Давлетшина</w:t>
      </w:r>
      <w:proofErr w:type="spellEnd"/>
      <w:r w:rsidR="00FD516B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D516B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Ленара</w:t>
      </w:r>
      <w:proofErr w:type="spellEnd"/>
      <w:r w:rsidR="00FD516B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D516B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Закирзяновича</w:t>
      </w:r>
      <w:proofErr w:type="spellEnd"/>
      <w:r w:rsidR="00FD516B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24F5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д</w:t>
      </w:r>
      <w:r w:rsidRPr="008C24F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C24F5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веренности);</w:t>
      </w:r>
    </w:p>
    <w:p w:rsidR="008C24F5" w:rsidRPr="008C24F5" w:rsidRDefault="008C24F5" w:rsidP="008C24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отсутствии </w:t>
      </w:r>
      <w:r w:rsidR="00FD516B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  МУП ЖКХ «</w:t>
      </w:r>
      <w:proofErr w:type="spellStart"/>
      <w:r w:rsidR="00FD516B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Моргаушское</w:t>
      </w:r>
      <w:proofErr w:type="spellEnd"/>
      <w:r w:rsidR="00FD516B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8C24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извещенно</w:t>
      </w:r>
      <w:r w:rsidR="00FD516B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8C2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надлежащим образом о времени и месте рассмотрения дела</w:t>
      </w:r>
    </w:p>
    <w:p w:rsidR="008C24F5" w:rsidRPr="008C24F5" w:rsidRDefault="008C24F5" w:rsidP="008C24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516B" w:rsidRPr="00E23044" w:rsidRDefault="00FD516B" w:rsidP="00FD51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материалы дела № 83/05-АМЗ-2012 возбужденного в отношении администрации </w:t>
      </w:r>
      <w:proofErr w:type="spellStart"/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Моргаущского</w:t>
      </w:r>
      <w:proofErr w:type="spellEnd"/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по признакам нарушения п.7 части 1 ст.15, части 3  статьи 17.1, статей 19, 20  закона  о защите конкуренции</w:t>
      </w:r>
    </w:p>
    <w:p w:rsidR="00FD516B" w:rsidRPr="00E23044" w:rsidRDefault="00FD516B" w:rsidP="00FD51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C24F5" w:rsidRPr="008C24F5" w:rsidRDefault="008C24F5" w:rsidP="008C2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4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УСТАНОВИЛА:</w:t>
      </w:r>
    </w:p>
    <w:p w:rsidR="008C24F5" w:rsidRPr="008C24F5" w:rsidRDefault="008C24F5" w:rsidP="008C2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3C92" w:rsidRPr="00E23044" w:rsidRDefault="00063C92" w:rsidP="008C2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C92" w:rsidRPr="00E23044" w:rsidRDefault="00063C92" w:rsidP="008C2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C92" w:rsidRPr="00E23044" w:rsidRDefault="00063C92" w:rsidP="008C2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C92" w:rsidRPr="00E23044" w:rsidRDefault="00063C92" w:rsidP="008C2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C92" w:rsidRPr="00E23044" w:rsidRDefault="00063C92" w:rsidP="008C2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C92" w:rsidRPr="00E23044" w:rsidRDefault="00063C92" w:rsidP="008C2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C92" w:rsidRPr="00E23044" w:rsidRDefault="00063C92" w:rsidP="008C2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C92" w:rsidRPr="00E23044" w:rsidRDefault="00063C92" w:rsidP="008C2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C92" w:rsidRPr="00063C92" w:rsidRDefault="00063C92" w:rsidP="00063C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Управление Федеральной антимонопольной службы  по Чувашской Респу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лике-Чувашии поступили материалы проверки осуществления сделок с муниц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пальным имуществом </w:t>
      </w:r>
      <w:proofErr w:type="spellStart"/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Моргаушского</w:t>
      </w:r>
      <w:proofErr w:type="spellEnd"/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проведенной Прокуратурой   </w:t>
      </w:r>
      <w:proofErr w:type="spellStart"/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гаушского</w:t>
      </w:r>
      <w:proofErr w:type="spellEnd"/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</w:t>
      </w:r>
    </w:p>
    <w:p w:rsidR="00063C92" w:rsidRPr="00063C92" w:rsidRDefault="00063C92" w:rsidP="00063C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представленным материалам  на основании договора №26 от 15.05.2008 г., заключенного между МУП «ЖКХ </w:t>
      </w:r>
      <w:proofErr w:type="spellStart"/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Моргаушское</w:t>
      </w:r>
      <w:proofErr w:type="spellEnd"/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СП</w:t>
      </w:r>
      <w:r w:rsid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ОС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СК «Кр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сталл плюс» с согласия администрации </w:t>
      </w:r>
      <w:proofErr w:type="spellStart"/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Моргаушского</w:t>
      </w:r>
      <w:proofErr w:type="spellEnd"/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СП</w:t>
      </w:r>
      <w:r w:rsid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ОС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СК «Кр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сталл плюс»  в аренду на срок 49 лет до 17.05.2057 года передано муниципальное имущество – здание </w:t>
      </w:r>
      <w:proofErr w:type="spellStart"/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Моргаушской</w:t>
      </w:r>
      <w:proofErr w:type="spellEnd"/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бани общей площадью 678,5 </w:t>
      </w:r>
      <w:proofErr w:type="spellStart"/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ное  по адресу: </w:t>
      </w:r>
      <w:proofErr w:type="spellStart"/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оргауши</w:t>
      </w:r>
      <w:proofErr w:type="spellEnd"/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ул.Гагарина</w:t>
      </w:r>
      <w:proofErr w:type="spellEnd"/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д.2. </w:t>
      </w:r>
    </w:p>
    <w:p w:rsidR="00063C92" w:rsidRPr="00063C92" w:rsidRDefault="00063C92" w:rsidP="00063C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 с </w:t>
      </w:r>
      <w:smartTag w:uri="urn:schemas-microsoft-com:office:smarttags" w:element="metricconverter">
        <w:smartTagPr>
          <w:attr w:name="ProductID" w:val="2010 г"/>
        </w:smartTagPr>
        <w:r w:rsidRPr="00063C9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2010 г</w:t>
        </w:r>
      </w:smartTag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. СП</w:t>
      </w:r>
      <w:r w:rsid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К «Кристалл плюс» вопреки требованиям ст.17.1 ФЗ «О защите конкуренции»  без проведения торгов  на право заключения догов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 аренды осуществляется сдача нежилых помещений здания общественной бани в субаренду коммерческим организациям в целях осуществления предприним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тельской деятельности. </w:t>
      </w:r>
    </w:p>
    <w:p w:rsidR="00063C92" w:rsidRPr="00063C92" w:rsidRDefault="00063C92" w:rsidP="00063C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Уставу МУП «ЖКХ </w:t>
      </w:r>
      <w:proofErr w:type="spellStart"/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Моргаушское</w:t>
      </w:r>
      <w:proofErr w:type="spellEnd"/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» является коммерческой орган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зацией и не наделено правом собственности на имущество, закрепленное за ним собственником. Имущество предприятия принадлежит предприятию на праве х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зяйственного ведения. </w:t>
      </w:r>
    </w:p>
    <w:p w:rsidR="00063C92" w:rsidRPr="00E23044" w:rsidRDefault="00063C92" w:rsidP="00063C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C92" w:rsidRPr="00E23044" w:rsidRDefault="00063C92" w:rsidP="00063C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Представитель Администрации </w:t>
      </w:r>
      <w:proofErr w:type="spellStart"/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Моргаушского</w:t>
      </w:r>
      <w:proofErr w:type="spellEnd"/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считает, что в связи с тем, что арендодателем при заключении  договора  от  1</w:t>
      </w:r>
      <w:r w:rsidR="00C94F8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2008 г.  являлось  МУП ЖКХ «</w:t>
      </w:r>
      <w:proofErr w:type="spellStart"/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Моргаушское</w:t>
      </w:r>
      <w:proofErr w:type="spellEnd"/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а администрацией  </w:t>
      </w:r>
      <w:proofErr w:type="spellStart"/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Моргаушского</w:t>
      </w:r>
      <w:proofErr w:type="spellEnd"/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было дано лишь согласие на передачу в аренду недвижимого имущества, то  администрация района ответчиком по данному делу не является</w:t>
      </w:r>
    </w:p>
    <w:p w:rsidR="00063C92" w:rsidRPr="00E23044" w:rsidRDefault="00063C92" w:rsidP="00063C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представителем администрации </w:t>
      </w:r>
      <w:proofErr w:type="spellStart"/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Моргаушского</w:t>
      </w:r>
      <w:proofErr w:type="spellEnd"/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даны поясн</w:t>
      </w:r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ния, что  здание </w:t>
      </w:r>
      <w:proofErr w:type="spellStart"/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Моргаушской</w:t>
      </w:r>
      <w:proofErr w:type="spellEnd"/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бани  арендодатель предоставил  аренду СПОССК «Кристалл плюс» без проведения конкурса или аукциона, так как на момент з</w:t>
      </w:r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ключения договора  аренды 15 мая 2008 г.   нормы действующего законодательства не требовали  обязательного проведен</w:t>
      </w:r>
      <w:r w:rsidR="00C06AF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я конкурсов</w:t>
      </w:r>
      <w:r w:rsidR="00C06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аукционов на право закл</w:t>
      </w:r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чения такого договора. А именно, ст.17.1 Федерального закона  от 26.07.2006 г. № 133-ФЗ «О защите конкуренции» введена в действие Федеральным законом от 30.06.2008 № 108-ФЗ с июля 2008 г, то есть после заключения договора аренды м</w:t>
      </w:r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ниципального имущества от 15 мая 2008 г. </w:t>
      </w:r>
    </w:p>
    <w:p w:rsidR="00063C92" w:rsidRPr="00E23044" w:rsidRDefault="00063C92" w:rsidP="00063C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Ответчик по делу считает, что  в данном случае условия заключенного дог</w:t>
      </w:r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вора от 15 мая 2008 г. сохраняют силу.  В связи с чем,  договор субаренды  был з</w:t>
      </w:r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 без проведения торгов. Кроме того,  «Кристалл плюс»  не являлось  суб</w:t>
      </w:r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ектом малого предпринимательства, в связи с чем,  не было необходимости  ув</w:t>
      </w:r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домления антимонопольного органа при предоставлении в аренду  муниципального имущества. </w:t>
      </w:r>
    </w:p>
    <w:p w:rsidR="00063C92" w:rsidRPr="00E23044" w:rsidRDefault="00063C92" w:rsidP="00063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3C92" w:rsidRPr="008C24F5" w:rsidRDefault="00063C92" w:rsidP="00063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24F5">
        <w:rPr>
          <w:rFonts w:ascii="Times New Roman" w:eastAsia="Times New Roman" w:hAnsi="Times New Roman" w:cs="Times New Roman"/>
          <w:sz w:val="26"/>
          <w:szCs w:val="26"/>
        </w:rPr>
        <w:t>Комиссия, рассмотрев материалы дела, выслушав заявителей, представителя ответчика, приходит к следующему.</w:t>
      </w:r>
    </w:p>
    <w:p w:rsidR="00063C92" w:rsidRPr="00E23044" w:rsidRDefault="00063C92" w:rsidP="00063C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60F" w:rsidRPr="00E23044" w:rsidRDefault="00063C92" w:rsidP="00C356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3560F" w:rsidRPr="00E23044">
        <w:rPr>
          <w:rFonts w:ascii="Times New Roman" w:hAnsi="Times New Roman" w:cs="Times New Roman"/>
          <w:sz w:val="26"/>
          <w:szCs w:val="26"/>
        </w:rPr>
        <w:t xml:space="preserve"> Согласно договору от 15 мая 2008 г. №26   МУП «</w:t>
      </w:r>
      <w:proofErr w:type="spellStart"/>
      <w:r w:rsidR="00C3560F" w:rsidRPr="00E23044">
        <w:rPr>
          <w:rFonts w:ascii="Times New Roman" w:hAnsi="Times New Roman" w:cs="Times New Roman"/>
          <w:sz w:val="26"/>
          <w:szCs w:val="26"/>
        </w:rPr>
        <w:t>Моргаушское</w:t>
      </w:r>
      <w:proofErr w:type="spellEnd"/>
      <w:r w:rsidR="00C3560F" w:rsidRPr="00E23044">
        <w:rPr>
          <w:rFonts w:ascii="Times New Roman" w:hAnsi="Times New Roman" w:cs="Times New Roman"/>
          <w:sz w:val="26"/>
          <w:szCs w:val="26"/>
        </w:rPr>
        <w:t xml:space="preserve">»  передало СПОССК «Кристалл плюс» сроком на 49 лет муниципальное имущество (здание  </w:t>
      </w:r>
      <w:proofErr w:type="spellStart"/>
      <w:r w:rsidR="00C3560F" w:rsidRPr="00E23044">
        <w:rPr>
          <w:rFonts w:ascii="Times New Roman" w:hAnsi="Times New Roman" w:cs="Times New Roman"/>
          <w:sz w:val="26"/>
          <w:szCs w:val="26"/>
        </w:rPr>
        <w:lastRenderedPageBreak/>
        <w:t>Моргаушской</w:t>
      </w:r>
      <w:proofErr w:type="spellEnd"/>
      <w:r w:rsidR="00C3560F" w:rsidRPr="00E23044">
        <w:rPr>
          <w:rFonts w:ascii="Times New Roman" w:hAnsi="Times New Roman" w:cs="Times New Roman"/>
          <w:sz w:val="26"/>
          <w:szCs w:val="26"/>
        </w:rPr>
        <w:t xml:space="preserve"> бани) полученное им от администрации </w:t>
      </w:r>
      <w:proofErr w:type="spellStart"/>
      <w:r w:rsidR="00C3560F" w:rsidRPr="00E23044">
        <w:rPr>
          <w:rFonts w:ascii="Times New Roman" w:hAnsi="Times New Roman" w:cs="Times New Roman"/>
          <w:sz w:val="26"/>
          <w:szCs w:val="26"/>
        </w:rPr>
        <w:t>Моргаушского</w:t>
      </w:r>
      <w:proofErr w:type="spellEnd"/>
      <w:r w:rsidR="00C3560F" w:rsidRPr="00E23044">
        <w:rPr>
          <w:rFonts w:ascii="Times New Roman" w:hAnsi="Times New Roman" w:cs="Times New Roman"/>
          <w:sz w:val="26"/>
          <w:szCs w:val="26"/>
        </w:rPr>
        <w:t xml:space="preserve"> района на праве хозяйственного ведения.  </w:t>
      </w:r>
    </w:p>
    <w:p w:rsidR="00C3560F" w:rsidRPr="00063C92" w:rsidRDefault="00B5305C" w:rsidP="00C356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history="1">
        <w:proofErr w:type="gramStart"/>
        <w:r w:rsidR="00C3560F" w:rsidRPr="00063C92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Статья 15</w:t>
        </w:r>
      </w:hyperlink>
      <w:r w:rsidR="00C3560F"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о защите конкуренции устанавливает запрет на ограничив</w:t>
      </w:r>
      <w:r w:rsidR="00C3560F"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3560F"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конкуренцию акты и действия (бездействие) федеральных органов исполн</w:t>
      </w:r>
      <w:r w:rsidR="00C3560F"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3560F"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</w:t>
      </w:r>
      <w:r w:rsidR="00C3560F"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3560F"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ганов или организаций, которые приводят или могут привести к недопущению, ограничению, устранению конкуренции.</w:t>
      </w:r>
      <w:proofErr w:type="gramEnd"/>
    </w:p>
    <w:p w:rsidR="00C3560F" w:rsidRPr="00063C92" w:rsidRDefault="00C3560F" w:rsidP="00C356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Передача  муниципального имущества конкретному хозяйствующему субъе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ту без согласия антимонопольного органа создает для данного субъекта преимущ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ственные условия в получении указанного имущества во временное владение и (или) пользование и препятствует доступу к  муниципальному ресурсу неопред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ленного круга лиц, которые также могут иметь намерение приобрести вышеозн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ченные права в отношении  муниципального имущества. </w:t>
      </w:r>
    </w:p>
    <w:p w:rsidR="00C3560F" w:rsidRPr="00063C92" w:rsidRDefault="00C3560F" w:rsidP="00C356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дача собственником имущества (Администрацией </w:t>
      </w:r>
      <w:proofErr w:type="spellStart"/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Моргау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района) согласия  на передачу  муниципальным унитарным предприятием «ЖКХ </w:t>
      </w:r>
      <w:proofErr w:type="spellStart"/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Моргаушское</w:t>
      </w:r>
      <w:proofErr w:type="spellEnd"/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муниципального имущества, закрепленного за ним на праве хозяйственного ведения или оперативного управления, целевым образом является нарушением </w:t>
      </w:r>
      <w:hyperlink r:id="rId8" w:history="1">
        <w:r w:rsidRPr="00063C92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статьи 15</w:t>
        </w:r>
      </w:hyperlink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о защите конкуренции.</w:t>
      </w:r>
    </w:p>
    <w:p w:rsidR="00C3560F" w:rsidRPr="00E23044" w:rsidRDefault="00C3560F" w:rsidP="00C356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тем, </w:t>
      </w:r>
      <w:hyperlink r:id="rId9" w:history="1">
        <w:r w:rsidRPr="00063C92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Законом</w:t>
        </w:r>
      </w:hyperlink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защите конкуренции, вступившим в силу 26.10.2006, был введен институт государственной и муниципальной помощи.</w:t>
      </w:r>
    </w:p>
    <w:p w:rsidR="00C3560F" w:rsidRPr="00E23044" w:rsidRDefault="00C3560F" w:rsidP="00C356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23044">
        <w:rPr>
          <w:rFonts w:ascii="Times New Roman" w:hAnsi="Times New Roman" w:cs="Times New Roman"/>
          <w:sz w:val="26"/>
          <w:szCs w:val="26"/>
        </w:rPr>
        <w:t>В соответствии со ст.19  в соответствии с полномочиями органов госуда</w:t>
      </w:r>
      <w:r w:rsidRPr="00E23044">
        <w:rPr>
          <w:rFonts w:ascii="Times New Roman" w:hAnsi="Times New Roman" w:cs="Times New Roman"/>
          <w:sz w:val="26"/>
          <w:szCs w:val="26"/>
        </w:rPr>
        <w:t>р</w:t>
      </w:r>
      <w:r w:rsidRPr="00E23044">
        <w:rPr>
          <w:rFonts w:ascii="Times New Roman" w:hAnsi="Times New Roman" w:cs="Times New Roman"/>
          <w:sz w:val="26"/>
          <w:szCs w:val="26"/>
        </w:rPr>
        <w:t>ственной власти или органов местного самоуправления государственная или мун</w:t>
      </w:r>
      <w:r w:rsidRPr="00E23044">
        <w:rPr>
          <w:rFonts w:ascii="Times New Roman" w:hAnsi="Times New Roman" w:cs="Times New Roman"/>
          <w:sz w:val="26"/>
          <w:szCs w:val="26"/>
        </w:rPr>
        <w:t>и</w:t>
      </w:r>
      <w:r w:rsidRPr="00E23044">
        <w:rPr>
          <w:rFonts w:ascii="Times New Roman" w:hAnsi="Times New Roman" w:cs="Times New Roman"/>
          <w:sz w:val="26"/>
          <w:szCs w:val="26"/>
        </w:rPr>
        <w:t>ципальная помощь может предоставляться в целях:</w:t>
      </w:r>
    </w:p>
    <w:p w:rsidR="00C3560F" w:rsidRPr="00E23044" w:rsidRDefault="00C3560F" w:rsidP="00C356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23044">
        <w:rPr>
          <w:rFonts w:ascii="Times New Roman" w:hAnsi="Times New Roman" w:cs="Times New Roman"/>
          <w:sz w:val="26"/>
          <w:szCs w:val="26"/>
        </w:rPr>
        <w:t>1) обеспечения жизнедеятельности населения в районах Крайнего Севера и приравненных к ним местностях;</w:t>
      </w:r>
    </w:p>
    <w:p w:rsidR="00C3560F" w:rsidRPr="00E23044" w:rsidRDefault="00C3560F" w:rsidP="00C356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23044">
        <w:rPr>
          <w:rFonts w:ascii="Times New Roman" w:hAnsi="Times New Roman" w:cs="Times New Roman"/>
          <w:sz w:val="26"/>
          <w:szCs w:val="26"/>
        </w:rPr>
        <w:t>2) проведения фундаментальных научных исследований;</w:t>
      </w:r>
    </w:p>
    <w:p w:rsidR="00C3560F" w:rsidRPr="00E23044" w:rsidRDefault="00C3560F" w:rsidP="00C356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23044">
        <w:rPr>
          <w:rFonts w:ascii="Times New Roman" w:hAnsi="Times New Roman" w:cs="Times New Roman"/>
          <w:sz w:val="26"/>
          <w:szCs w:val="26"/>
        </w:rPr>
        <w:t>3) защиты окружающей среды;</w:t>
      </w:r>
    </w:p>
    <w:p w:rsidR="00C3560F" w:rsidRPr="00E23044" w:rsidRDefault="00C3560F" w:rsidP="00C356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23044">
        <w:rPr>
          <w:rFonts w:ascii="Times New Roman" w:hAnsi="Times New Roman" w:cs="Times New Roman"/>
          <w:sz w:val="26"/>
          <w:szCs w:val="26"/>
        </w:rPr>
        <w:t>4) развития культуры и сохранения культурного наследия;</w:t>
      </w:r>
    </w:p>
    <w:p w:rsidR="00C3560F" w:rsidRPr="00E23044" w:rsidRDefault="00C3560F" w:rsidP="00C356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23044">
        <w:rPr>
          <w:rFonts w:ascii="Times New Roman" w:hAnsi="Times New Roman" w:cs="Times New Roman"/>
          <w:sz w:val="26"/>
          <w:szCs w:val="26"/>
        </w:rPr>
        <w:t>5) производства сельскохозяйственной продукции;</w:t>
      </w:r>
    </w:p>
    <w:p w:rsidR="00C3560F" w:rsidRPr="00E23044" w:rsidRDefault="00C3560F" w:rsidP="00C356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23044">
        <w:rPr>
          <w:rFonts w:ascii="Times New Roman" w:hAnsi="Times New Roman" w:cs="Times New Roman"/>
          <w:sz w:val="26"/>
          <w:szCs w:val="26"/>
        </w:rPr>
        <w:t>6) поддержки субъектов малого предпринимательства, осуществляющих пр</w:t>
      </w:r>
      <w:r w:rsidRPr="00E23044">
        <w:rPr>
          <w:rFonts w:ascii="Times New Roman" w:hAnsi="Times New Roman" w:cs="Times New Roman"/>
          <w:sz w:val="26"/>
          <w:szCs w:val="26"/>
        </w:rPr>
        <w:t>и</w:t>
      </w:r>
      <w:r w:rsidRPr="00E23044">
        <w:rPr>
          <w:rFonts w:ascii="Times New Roman" w:hAnsi="Times New Roman" w:cs="Times New Roman"/>
          <w:sz w:val="26"/>
          <w:szCs w:val="26"/>
        </w:rPr>
        <w:t>оритетные виды деятельности;</w:t>
      </w:r>
    </w:p>
    <w:p w:rsidR="00C3560F" w:rsidRPr="00E23044" w:rsidRDefault="00C3560F" w:rsidP="00C356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23044">
        <w:rPr>
          <w:rFonts w:ascii="Times New Roman" w:hAnsi="Times New Roman" w:cs="Times New Roman"/>
          <w:sz w:val="26"/>
          <w:szCs w:val="26"/>
        </w:rPr>
        <w:t>7) социального обслуживания населения;</w:t>
      </w:r>
    </w:p>
    <w:p w:rsidR="00C3560F" w:rsidRPr="00E23044" w:rsidRDefault="00C3560F" w:rsidP="00C356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23044">
        <w:rPr>
          <w:rFonts w:ascii="Times New Roman" w:hAnsi="Times New Roman" w:cs="Times New Roman"/>
          <w:sz w:val="26"/>
          <w:szCs w:val="26"/>
        </w:rPr>
        <w:t>8) социальной поддержки безработных граждан и содействия занятости нас</w:t>
      </w:r>
      <w:r w:rsidRPr="00E23044">
        <w:rPr>
          <w:rFonts w:ascii="Times New Roman" w:hAnsi="Times New Roman" w:cs="Times New Roman"/>
          <w:sz w:val="26"/>
          <w:szCs w:val="26"/>
        </w:rPr>
        <w:t>е</w:t>
      </w:r>
      <w:r w:rsidRPr="00E23044">
        <w:rPr>
          <w:rFonts w:ascii="Times New Roman" w:hAnsi="Times New Roman" w:cs="Times New Roman"/>
          <w:sz w:val="26"/>
          <w:szCs w:val="26"/>
        </w:rPr>
        <w:t>ления.</w:t>
      </w:r>
    </w:p>
    <w:p w:rsidR="00063C92" w:rsidRPr="00063C92" w:rsidRDefault="00063C92" w:rsidP="00E230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A1A58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тем, в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</w:t>
      </w:r>
      <w:hyperlink r:id="rId10" w:history="1">
        <w:r w:rsidRPr="00063C92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п. 20 ст. 4</w:t>
        </w:r>
      </w:hyperlink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(действовавшего на момент заключения договора №26 от 15.05.2008 в ред. от 29.04.2008) о защите конкуре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государственная или муниципальная помощь заключается в предоставлении федеральными органами исполнительной власти, органами исполнительной власти субъектов РФ, органами местного самоуправления, иными осуществляющими функции указанных органов органами или организациями преимущества, которое обеспечивает отдельным хозяйствующим субъектам по</w:t>
      </w:r>
      <w:proofErr w:type="gramEnd"/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сравнению с другими участниками рынка (потенциальными участниками рынка) более выгодные усл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вия деятельности на соответствующем товарном рынке путем передачи имущества и (или) иных объектов гражданских прав, прав доступа к информации в приорите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порядке.</w:t>
      </w:r>
    </w:p>
    <w:p w:rsidR="001A1A58" w:rsidRPr="00E23044" w:rsidRDefault="001A1A58" w:rsidP="000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 использования переданного имущества в договоре аренды не обознач</w:t>
      </w:r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на, что  дает право считать, что  данное использование не подпадает под действие статьи 19</w:t>
      </w:r>
      <w:r w:rsidR="00F9061E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 может предоставляться  без проведения торгов.</w:t>
      </w:r>
    </w:p>
    <w:p w:rsidR="00063C92" w:rsidRPr="00063C92" w:rsidRDefault="001A1A58" w:rsidP="000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Кроме того, а</w:t>
      </w:r>
      <w:r w:rsidR="00063C92"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 </w:t>
      </w:r>
      <w:proofErr w:type="spellStart"/>
      <w:r w:rsidR="00063C92"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Моргаушского</w:t>
      </w:r>
      <w:proofErr w:type="spellEnd"/>
      <w:r w:rsidR="00063C92"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в антимонопольный орган с заявлением  о предоставлении муниципальной  помощи СП</w:t>
      </w:r>
      <w:r w:rsid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ОС</w:t>
      </w:r>
      <w:r w:rsidR="00063C92"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СК «Кристалл  плюс» не обращалась.</w:t>
      </w:r>
    </w:p>
    <w:p w:rsidR="00063C92" w:rsidRPr="00063C92" w:rsidRDefault="00063C92" w:rsidP="000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после вступления в действие </w:t>
      </w:r>
      <w:hyperlink r:id="rId11" w:history="1">
        <w:r w:rsidRPr="00063C92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Закона</w:t>
        </w:r>
      </w:hyperlink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защите конкуренции,  любое предоставление государственного или муниципального имущества, в </w:t>
      </w:r>
      <w:proofErr w:type="spellStart"/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аренду, без согласия антимонопольного органа, за исключением случаев, пред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смотренных </w:t>
      </w:r>
      <w:hyperlink r:id="rId12" w:history="1">
        <w:r w:rsidRPr="00063C92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ч. 1 ст. 20</w:t>
        </w:r>
      </w:hyperlink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о защите конкуренции, или без проведения торгов (конкурсов, аукционов) является нарушением порядка предоставления госуда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ственной и муниципальной помощи, предусмотренного </w:t>
      </w:r>
      <w:hyperlink r:id="rId13" w:history="1">
        <w:r w:rsidRPr="00063C92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ст. 20</w:t>
        </w:r>
      </w:hyperlink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о защите ко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куренции, и влечет</w:t>
      </w:r>
      <w:proofErr w:type="gramEnd"/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собой последствия в виде признания недействительными а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органов власти в части предоставления государственной или муниципальной помощи, а также возврата данного имущества.</w:t>
      </w:r>
    </w:p>
    <w:p w:rsidR="00063C92" w:rsidRPr="00063C92" w:rsidRDefault="00063C92" w:rsidP="000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выявлено 25.05.2012. Действие договора аренды не прекращено. Таким образом, нарушение  стать</w:t>
      </w:r>
      <w:r w:rsidR="001A1A58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19, 20 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о защите  конкуренции является длящимся. </w:t>
      </w:r>
    </w:p>
    <w:p w:rsidR="0097202D" w:rsidRPr="00E23044" w:rsidRDefault="0097202D" w:rsidP="0097202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E23044">
        <w:rPr>
          <w:rFonts w:ascii="Times New Roman" w:hAnsi="Times New Roman" w:cs="Times New Roman"/>
          <w:sz w:val="26"/>
          <w:szCs w:val="26"/>
        </w:rPr>
        <w:t>В соответствии со ст</w:t>
      </w:r>
      <w:r w:rsidR="00E23044">
        <w:rPr>
          <w:rFonts w:ascii="Times New Roman" w:hAnsi="Times New Roman" w:cs="Times New Roman"/>
          <w:sz w:val="26"/>
          <w:szCs w:val="26"/>
        </w:rPr>
        <w:t>.</w:t>
      </w:r>
      <w:r w:rsidRPr="00E23044">
        <w:rPr>
          <w:rFonts w:ascii="Times New Roman" w:hAnsi="Times New Roman" w:cs="Times New Roman"/>
          <w:sz w:val="26"/>
          <w:szCs w:val="26"/>
        </w:rPr>
        <w:t xml:space="preserve"> 21  Федерального закона о защите конкуренции, де</w:t>
      </w:r>
      <w:r w:rsidRPr="00E23044">
        <w:rPr>
          <w:rFonts w:ascii="Times New Roman" w:hAnsi="Times New Roman" w:cs="Times New Roman"/>
          <w:sz w:val="26"/>
          <w:szCs w:val="26"/>
        </w:rPr>
        <w:t>й</w:t>
      </w:r>
      <w:r w:rsidRPr="00E23044">
        <w:rPr>
          <w:rFonts w:ascii="Times New Roman" w:hAnsi="Times New Roman" w:cs="Times New Roman"/>
          <w:sz w:val="26"/>
          <w:szCs w:val="26"/>
        </w:rPr>
        <w:t>ствующей на момент заключения договора,  в случае, если акты о предоставлении государственной или муниципальной помощи не были предварительно предста</w:t>
      </w:r>
      <w:r w:rsidRPr="00E23044">
        <w:rPr>
          <w:rFonts w:ascii="Times New Roman" w:hAnsi="Times New Roman" w:cs="Times New Roman"/>
          <w:sz w:val="26"/>
          <w:szCs w:val="26"/>
        </w:rPr>
        <w:t>в</w:t>
      </w:r>
      <w:r w:rsidRPr="00E23044">
        <w:rPr>
          <w:rFonts w:ascii="Times New Roman" w:hAnsi="Times New Roman" w:cs="Times New Roman"/>
          <w:sz w:val="26"/>
          <w:szCs w:val="26"/>
        </w:rPr>
        <w:t xml:space="preserve">лены в антимонопольный орган (за исключением актов, предусмотренных </w:t>
      </w:r>
      <w:hyperlink r:id="rId14" w:history="1">
        <w:r w:rsidRPr="00E23044">
          <w:rPr>
            <w:rFonts w:ascii="Times New Roman" w:hAnsi="Times New Roman" w:cs="Times New Roman"/>
            <w:color w:val="0000FF"/>
            <w:sz w:val="26"/>
            <w:szCs w:val="26"/>
          </w:rPr>
          <w:t>пункт</w:t>
        </w:r>
        <w:r w:rsidRPr="00E23044">
          <w:rPr>
            <w:rFonts w:ascii="Times New Roman" w:hAnsi="Times New Roman" w:cs="Times New Roman"/>
            <w:color w:val="0000FF"/>
            <w:sz w:val="26"/>
            <w:szCs w:val="26"/>
          </w:rPr>
          <w:t>а</w:t>
        </w:r>
        <w:r w:rsidRPr="00E23044">
          <w:rPr>
            <w:rFonts w:ascii="Times New Roman" w:hAnsi="Times New Roman" w:cs="Times New Roman"/>
            <w:color w:val="0000FF"/>
            <w:sz w:val="26"/>
            <w:szCs w:val="26"/>
          </w:rPr>
          <w:t>ми 1</w:t>
        </w:r>
      </w:hyperlink>
      <w:r w:rsidRPr="00E23044">
        <w:rPr>
          <w:rFonts w:ascii="Times New Roman" w:hAnsi="Times New Roman" w:cs="Times New Roman"/>
          <w:sz w:val="26"/>
          <w:szCs w:val="26"/>
        </w:rPr>
        <w:t xml:space="preserve"> - </w:t>
      </w:r>
      <w:hyperlink r:id="rId15" w:history="1">
        <w:r w:rsidRPr="00E23044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E23044">
        <w:rPr>
          <w:rFonts w:ascii="Times New Roman" w:hAnsi="Times New Roman" w:cs="Times New Roman"/>
          <w:sz w:val="26"/>
          <w:szCs w:val="26"/>
        </w:rPr>
        <w:t xml:space="preserve"> части 1 статьи 20 настоящего Федерального закона), такие акты могут быть признаны судом недействительными полностью или частично, в том числе по</w:t>
      </w:r>
      <w:proofErr w:type="gramEnd"/>
      <w:r w:rsidRPr="00E23044">
        <w:rPr>
          <w:rFonts w:ascii="Times New Roman" w:hAnsi="Times New Roman" w:cs="Times New Roman"/>
          <w:sz w:val="26"/>
          <w:szCs w:val="26"/>
        </w:rPr>
        <w:t xml:space="preserve"> иску антимонопольного органа. </w:t>
      </w:r>
      <w:proofErr w:type="gramStart"/>
      <w:r w:rsidRPr="00E23044">
        <w:rPr>
          <w:rFonts w:ascii="Times New Roman" w:hAnsi="Times New Roman" w:cs="Times New Roman"/>
          <w:sz w:val="26"/>
          <w:szCs w:val="26"/>
        </w:rPr>
        <w:t>В случае признания судом акта о предоставлении гос</w:t>
      </w:r>
      <w:r w:rsidRPr="00E23044">
        <w:rPr>
          <w:rFonts w:ascii="Times New Roman" w:hAnsi="Times New Roman" w:cs="Times New Roman"/>
          <w:sz w:val="26"/>
          <w:szCs w:val="26"/>
        </w:rPr>
        <w:t>у</w:t>
      </w:r>
      <w:r w:rsidRPr="00E23044">
        <w:rPr>
          <w:rFonts w:ascii="Times New Roman" w:hAnsi="Times New Roman" w:cs="Times New Roman"/>
          <w:sz w:val="26"/>
          <w:szCs w:val="26"/>
        </w:rPr>
        <w:t>дарственной или муниципальной помощи недействительным полностью или ч</w:t>
      </w:r>
      <w:r w:rsidRPr="00E23044">
        <w:rPr>
          <w:rFonts w:ascii="Times New Roman" w:hAnsi="Times New Roman" w:cs="Times New Roman"/>
          <w:sz w:val="26"/>
          <w:szCs w:val="26"/>
        </w:rPr>
        <w:t>а</w:t>
      </w:r>
      <w:r w:rsidRPr="00E23044">
        <w:rPr>
          <w:rFonts w:ascii="Times New Roman" w:hAnsi="Times New Roman" w:cs="Times New Roman"/>
          <w:sz w:val="26"/>
          <w:szCs w:val="26"/>
        </w:rPr>
        <w:t>стично антимонопольный орган выдает федеральному органу исполнительной вл</w:t>
      </w:r>
      <w:r w:rsidRPr="00E23044">
        <w:rPr>
          <w:rFonts w:ascii="Times New Roman" w:hAnsi="Times New Roman" w:cs="Times New Roman"/>
          <w:sz w:val="26"/>
          <w:szCs w:val="26"/>
        </w:rPr>
        <w:t>а</w:t>
      </w:r>
      <w:r w:rsidRPr="00E23044">
        <w:rPr>
          <w:rFonts w:ascii="Times New Roman" w:hAnsi="Times New Roman" w:cs="Times New Roman"/>
          <w:sz w:val="26"/>
          <w:szCs w:val="26"/>
        </w:rPr>
        <w:t>сти, органу исполнительной власти субъекта Российской Федерации, органу мес</w:t>
      </w:r>
      <w:r w:rsidRPr="00E23044">
        <w:rPr>
          <w:rFonts w:ascii="Times New Roman" w:hAnsi="Times New Roman" w:cs="Times New Roman"/>
          <w:sz w:val="26"/>
          <w:szCs w:val="26"/>
        </w:rPr>
        <w:t>т</w:t>
      </w:r>
      <w:r w:rsidRPr="00E23044">
        <w:rPr>
          <w:rFonts w:ascii="Times New Roman" w:hAnsi="Times New Roman" w:cs="Times New Roman"/>
          <w:sz w:val="26"/>
          <w:szCs w:val="26"/>
        </w:rPr>
        <w:t>ного самоуправления, предоставившим государственную или муниципальную п</w:t>
      </w:r>
      <w:r w:rsidRPr="00E23044">
        <w:rPr>
          <w:rFonts w:ascii="Times New Roman" w:hAnsi="Times New Roman" w:cs="Times New Roman"/>
          <w:sz w:val="26"/>
          <w:szCs w:val="26"/>
        </w:rPr>
        <w:t>о</w:t>
      </w:r>
      <w:r w:rsidRPr="00E23044">
        <w:rPr>
          <w:rFonts w:ascii="Times New Roman" w:hAnsi="Times New Roman" w:cs="Times New Roman"/>
          <w:sz w:val="26"/>
          <w:szCs w:val="26"/>
        </w:rPr>
        <w:t>мощь, предписание о принятии мер по возврату имущества, если государственная или муниципальная помощь была предоставлена путем передачи государственного или муниципального имущества.</w:t>
      </w:r>
      <w:proofErr w:type="gramEnd"/>
    </w:p>
    <w:p w:rsidR="00063C92" w:rsidRPr="00E23044" w:rsidRDefault="00063C92" w:rsidP="00063C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C92" w:rsidRPr="00063C92" w:rsidRDefault="00063C92" w:rsidP="00063C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Вместе с тем, действие </w:t>
      </w:r>
      <w:hyperlink r:id="rId16" w:history="1">
        <w:r w:rsidRPr="00063C92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статьи 17.1</w:t>
        </w:r>
      </w:hyperlink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о защите конкуренции  не ра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пространяется на случаи заключения договоров, предусматривающих переход прав владения и (или) пользования на государственное или муниципальное имущество некоммерческим организациям, которые не осуществляют деятельность, принос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щую им доход, - предпринимательскую деятельность, то есть не являются хозя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ствующими субъектами.</w:t>
      </w:r>
    </w:p>
    <w:p w:rsidR="00063C92" w:rsidRPr="00063C92" w:rsidRDefault="00063C92" w:rsidP="00063C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Поскольку в соответствии со </w:t>
      </w:r>
      <w:hyperlink r:id="rId17" w:history="1">
        <w:r w:rsidRPr="00063C92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статьей 50</w:t>
        </w:r>
      </w:hyperlink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Гражданского кодекса Российской Федерации некоммерческие организации могут осуществлять предпринимател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скую деятельность, действие </w:t>
      </w:r>
      <w:hyperlink r:id="rId18" w:history="1">
        <w:r w:rsidRPr="00063C92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статьи 17.1</w:t>
        </w:r>
      </w:hyperlink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о защите конкуренции распростр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няется на случаи заключения данных договоров с некоммерческими организаци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ми, осуществляющими деятельность, приносящую доход. Из чего следует, что если в период владения и (или) пользования государственным или муниципальным имуществом, полученным без торгов некоммерческой организацией, не имеющей статуса хозяйствующего субъекта, организация начнет осуществлять деятельность, приносящую ей доход, орган государственной власти или орган местного сам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управления, который принял решение о передаче организации государственного или муниципального имущества, должен принять меры по прекращению использ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вания данного имущества и </w:t>
      </w:r>
      <w:proofErr w:type="gramStart"/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proofErr w:type="gramEnd"/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возврату в целях предоставления такого имущ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ства в соответствии с </w:t>
      </w:r>
      <w:hyperlink r:id="rId19" w:history="1">
        <w:r w:rsidRPr="00063C92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Законом</w:t>
        </w:r>
      </w:hyperlink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защите конкуренции - на торгах или с предвар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тельным согласованием с антимонопольным органом в порядке, установленном </w:t>
      </w:r>
      <w:hyperlink r:id="rId20" w:history="1">
        <w:r w:rsidRPr="00063C92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главой 5</w:t>
        </w:r>
      </w:hyperlink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о защите конкуренции.</w:t>
      </w:r>
    </w:p>
    <w:p w:rsidR="00063C92" w:rsidRPr="00063C92" w:rsidRDefault="00063C92" w:rsidP="00063C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Уставом, утвержденным общим собранием  потребительск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обслуживающего кооператива «Кристалл плюс», утвержденным 01.06.2010 СПСК «Кристалл плюс» является некоммерческой организацией.</w:t>
      </w:r>
    </w:p>
    <w:p w:rsidR="00063C92" w:rsidRPr="00063C92" w:rsidRDefault="00063C92" w:rsidP="00063C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договору с МУП «ЖКХ </w:t>
      </w:r>
      <w:proofErr w:type="spellStart"/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Моргаушское</w:t>
      </w:r>
      <w:proofErr w:type="spellEnd"/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СПСК «Кристалл плюс» за полученное в аренду на 49 лет имущество  (здание </w:t>
      </w:r>
      <w:proofErr w:type="spellStart"/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Моргаушской</w:t>
      </w:r>
      <w:proofErr w:type="spellEnd"/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бани, общей площадью 678,5 </w:t>
      </w:r>
      <w:proofErr w:type="spellStart"/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)  перечисляет арендную плату в размере 98382 рубля в год.</w:t>
      </w:r>
    </w:p>
    <w:p w:rsidR="00063C92" w:rsidRPr="00063C92" w:rsidRDefault="00063C92" w:rsidP="00063C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договорам субаренды, заключенным  СПСК «Кристалл плюс» с и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дивидуальными предпринимателями сумма полученной им арендной платы по з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договорам за 1 год  2011 - 2012 год (приложенным) составляет 555 000 рублей, из  чего следует, что   СПСК «Кристалл плюс» получает доход при ос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ществлении своей деятельности.</w:t>
      </w:r>
    </w:p>
    <w:p w:rsidR="00063C92" w:rsidRPr="00063C92" w:rsidRDefault="00063C92" w:rsidP="00063C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21" w:history="1">
        <w:r w:rsidRPr="00063C92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частью 3 статьи 17.1</w:t>
        </w:r>
      </w:hyperlink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о защите конкуренции заключ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договоров в отношении государственного или муниципального имущества, к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торое закреплено на праве хозяйственного ведения или оперативного управления за государственными или муниципальными унитарными предприятиями, госуда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ственными или муниципальными бюджетными учреждениями и которым они м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>гут распоряжаться только с согласия собственника, может быть осуществлено только по результатам торгов.</w:t>
      </w:r>
      <w:proofErr w:type="gramEnd"/>
    </w:p>
    <w:p w:rsidR="0097202D" w:rsidRPr="00063C92" w:rsidRDefault="0097202D" w:rsidP="009720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Следовательно, заключение договоров субаренды, перенайма в отношении государственного или муниципального имущества также должно осуществляться в порядке, установленном </w:t>
      </w:r>
      <w:hyperlink r:id="rId22" w:history="1">
        <w:r w:rsidRPr="00063C92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статьей 17.1</w:t>
        </w:r>
      </w:hyperlink>
      <w:r w:rsidRPr="00063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о защите конкуренции.</w:t>
      </w:r>
    </w:p>
    <w:p w:rsidR="00947994" w:rsidRPr="00E23044" w:rsidRDefault="00947994" w:rsidP="00063C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Однако, как выявлено в ходе рассмотрения дела,   договор аренды имуществ</w:t>
      </w:r>
      <w:r w:rsidR="0097202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4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15.05.2008 </w:t>
      </w:r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202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  </w:t>
      </w:r>
      <w:r w:rsidR="00C06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введения в действие  статьи 17.1 Закона  </w:t>
      </w:r>
      <w:r w:rsidR="0097202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защите ко</w:t>
      </w:r>
      <w:r w:rsidR="0097202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7202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куренции</w:t>
      </w:r>
      <w:r w:rsidR="00C06A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7202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Таким </w:t>
      </w:r>
      <w:r w:rsidR="00090AAC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образом</w:t>
      </w:r>
      <w:r w:rsid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7202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нарушение</w:t>
      </w:r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0AAC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202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ч.3 статьи 17.1 </w:t>
      </w:r>
      <w:proofErr w:type="gramStart"/>
      <w:r w:rsidR="0097202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proofErr w:type="gramEnd"/>
      <w:r w:rsidR="0097202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90AAC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</w:t>
      </w:r>
      <w:r w:rsidR="0097202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proofErr w:type="gramEnd"/>
      <w:r w:rsidR="00090AAC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аренды между СП</w:t>
      </w:r>
      <w:r w:rsid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ОС</w:t>
      </w:r>
      <w:r w:rsidR="00090AAC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 «Кристалл плюс»   и </w:t>
      </w:r>
      <w:r w:rsidR="0097202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МУП «ЖКХ «</w:t>
      </w:r>
      <w:proofErr w:type="spellStart"/>
      <w:r w:rsidR="0097202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Моргаушское</w:t>
      </w:r>
      <w:proofErr w:type="spellEnd"/>
      <w:r w:rsidR="0097202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90AAC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6AFD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</w:t>
      </w:r>
      <w:r w:rsidR="00C06AF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06AF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ствует</w:t>
      </w:r>
      <w:r w:rsidR="00090AAC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90AAC" w:rsidRPr="00E23044" w:rsidRDefault="00090AAC" w:rsidP="00063C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1A58" w:rsidRPr="00E23044" w:rsidRDefault="001A1A58" w:rsidP="00063C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7202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069B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Здание </w:t>
      </w:r>
      <w:proofErr w:type="spellStart"/>
      <w:r w:rsidR="005069B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Моргаушской</w:t>
      </w:r>
      <w:proofErr w:type="spellEnd"/>
      <w:r w:rsidR="005069B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бани по договору аренды от 1</w:t>
      </w:r>
      <w:r w:rsidR="00C06AF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069B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2008 г. находилось в хозяйственном ведении МУП ЖКХ «</w:t>
      </w:r>
      <w:proofErr w:type="spellStart"/>
      <w:r w:rsidR="005069B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Моргаушское</w:t>
      </w:r>
      <w:proofErr w:type="spellEnd"/>
      <w:r w:rsidR="005069B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="005069B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Моргаушского</w:t>
      </w:r>
      <w:proofErr w:type="spellEnd"/>
      <w:r w:rsidR="005069B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</w:t>
      </w:r>
      <w:r w:rsidR="005069B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069B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вашской Республики. Администрацией </w:t>
      </w:r>
      <w:proofErr w:type="spellStart"/>
      <w:r w:rsidR="005069B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Моргаушского</w:t>
      </w:r>
      <w:proofErr w:type="spellEnd"/>
      <w:r w:rsidR="005069B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района  было дано согласие МУП ЖКХ «</w:t>
      </w:r>
      <w:proofErr w:type="spellStart"/>
      <w:r w:rsidR="005069B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Моргаушское</w:t>
      </w:r>
      <w:proofErr w:type="spellEnd"/>
      <w:r w:rsidR="005069B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передачу в аренду указанного муниципального имущества</w:t>
      </w:r>
      <w:proofErr w:type="gramStart"/>
      <w:r w:rsidR="005069B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5069B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5069B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5069B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.7</w:t>
      </w:r>
      <w:r w:rsid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1 </w:t>
      </w:r>
      <w:r w:rsidR="005069B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15 Закона о защите конкуренции введен  в действие Федеральным Законом №164-ФЗ от 17.07.2009</w:t>
      </w:r>
      <w:r w:rsidR="00C06AFD">
        <w:rPr>
          <w:rFonts w:ascii="Times New Roman" w:eastAsia="Times New Roman" w:hAnsi="Times New Roman" w:cs="Times New Roman"/>
          <w:sz w:val="26"/>
          <w:szCs w:val="26"/>
          <w:lang w:eastAsia="ru-RU"/>
        </w:rPr>
        <w:t>, с</w:t>
      </w:r>
      <w:r w:rsidR="005069B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ледовательно, </w:t>
      </w:r>
      <w:r w:rsidR="00C06A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заключения  договора аренды.</w:t>
      </w:r>
      <w:r w:rsidR="005069B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C24F5" w:rsidRPr="008C24F5" w:rsidRDefault="008C24F5" w:rsidP="008C2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24F5">
        <w:rPr>
          <w:rFonts w:ascii="Times New Roman" w:eastAsia="Times New Roman" w:hAnsi="Times New Roman" w:cs="Times New Roman"/>
          <w:sz w:val="26"/>
          <w:szCs w:val="26"/>
        </w:rPr>
        <w:t xml:space="preserve">В связи с тем, что нарушение антимонопольного законодательства по </w:t>
      </w:r>
      <w:r w:rsidR="005C29BD" w:rsidRPr="00E23044">
        <w:rPr>
          <w:rFonts w:ascii="Times New Roman" w:eastAsia="Times New Roman" w:hAnsi="Times New Roman" w:cs="Times New Roman"/>
          <w:sz w:val="26"/>
          <w:szCs w:val="26"/>
        </w:rPr>
        <w:t>стат</w:t>
      </w:r>
      <w:r w:rsidR="005C29BD" w:rsidRPr="00E23044">
        <w:rPr>
          <w:rFonts w:ascii="Times New Roman" w:eastAsia="Times New Roman" w:hAnsi="Times New Roman" w:cs="Times New Roman"/>
          <w:sz w:val="26"/>
          <w:szCs w:val="26"/>
        </w:rPr>
        <w:t>ь</w:t>
      </w:r>
      <w:r w:rsidR="005C29BD" w:rsidRPr="00E23044">
        <w:rPr>
          <w:rFonts w:ascii="Times New Roman" w:eastAsia="Times New Roman" w:hAnsi="Times New Roman" w:cs="Times New Roman"/>
          <w:sz w:val="26"/>
          <w:szCs w:val="26"/>
        </w:rPr>
        <w:t>ям 19, 20</w:t>
      </w:r>
      <w:r w:rsidRPr="008C24F5">
        <w:rPr>
          <w:rFonts w:ascii="Times New Roman" w:eastAsia="Times New Roman" w:hAnsi="Times New Roman" w:cs="Times New Roman"/>
          <w:sz w:val="26"/>
          <w:szCs w:val="26"/>
        </w:rPr>
        <w:t xml:space="preserve"> Закона о защите конкуренции  не прекращено, Комиссия приходит к в</w:t>
      </w:r>
      <w:r w:rsidRPr="008C24F5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8C24F5">
        <w:rPr>
          <w:rFonts w:ascii="Times New Roman" w:eastAsia="Times New Roman" w:hAnsi="Times New Roman" w:cs="Times New Roman"/>
          <w:sz w:val="26"/>
          <w:szCs w:val="26"/>
        </w:rPr>
        <w:t>воду о необходимости  выдачи предписания.</w:t>
      </w:r>
    </w:p>
    <w:p w:rsidR="008C24F5" w:rsidRPr="008C24F5" w:rsidRDefault="008C24F5" w:rsidP="008C2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24F5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статьей </w:t>
      </w:r>
      <w:r w:rsidR="00480357">
        <w:rPr>
          <w:rFonts w:ascii="Times New Roman" w:eastAsia="Times New Roman" w:hAnsi="Times New Roman" w:cs="Times New Roman"/>
          <w:sz w:val="26"/>
          <w:szCs w:val="26"/>
        </w:rPr>
        <w:t xml:space="preserve">19, 20, </w:t>
      </w:r>
      <w:r w:rsidRPr="008C24F5">
        <w:rPr>
          <w:rFonts w:ascii="Times New Roman" w:eastAsia="Times New Roman" w:hAnsi="Times New Roman" w:cs="Times New Roman"/>
          <w:sz w:val="26"/>
          <w:szCs w:val="26"/>
        </w:rPr>
        <w:t>23, частью 1 статьи 39, частями 1-4 статьи 41,  частью 1 статьи  49 Федерального закона от 26.07.2006 № 135-ФЗ «О защите ко</w:t>
      </w:r>
      <w:r w:rsidRPr="008C24F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24F5">
        <w:rPr>
          <w:rFonts w:ascii="Times New Roman" w:eastAsia="Times New Roman" w:hAnsi="Times New Roman" w:cs="Times New Roman"/>
          <w:sz w:val="26"/>
          <w:szCs w:val="26"/>
        </w:rPr>
        <w:t xml:space="preserve">куренции»  Комиссия </w:t>
      </w:r>
    </w:p>
    <w:p w:rsidR="008C24F5" w:rsidRPr="008C24F5" w:rsidRDefault="008C24F5" w:rsidP="008C2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24F5" w:rsidRPr="00E23044" w:rsidRDefault="008C24F5" w:rsidP="008C2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C24F5"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РЕШИЛА:</w:t>
      </w:r>
    </w:p>
    <w:p w:rsidR="005C29BD" w:rsidRPr="008C24F5" w:rsidRDefault="005C29BD" w:rsidP="008C2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23044" w:rsidRPr="00E23044" w:rsidRDefault="008B6F19" w:rsidP="00E230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23044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Производство по делу в отношении  администрации </w:t>
      </w:r>
      <w:proofErr w:type="spellStart"/>
      <w:r w:rsidR="00E23044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E23044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="00E23044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="00E23044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</w:t>
      </w:r>
      <w:r w:rsidR="00E23044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23044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знакам нарушения ч. 3 статьи  17.1 Федерального закона от 26.07.2006 № 135-ФЗ «О защите конкуренции» прекратить  в связи с отсутствием состава правонаруш</w:t>
      </w:r>
      <w:r w:rsidR="00E23044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23044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ния.</w:t>
      </w:r>
    </w:p>
    <w:p w:rsidR="00C06AFD" w:rsidRPr="00E23044" w:rsidRDefault="008B6F19" w:rsidP="00C06A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  <w:r w:rsidR="00C06AF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Производство по делу в отношении  администрации </w:t>
      </w:r>
      <w:proofErr w:type="spellStart"/>
      <w:r w:rsidR="00C06AF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C06AF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="00C06AF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="00C06AF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</w:t>
      </w:r>
      <w:r w:rsidR="00C06AF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06AF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знакам нарушения  п.7 </w:t>
      </w:r>
      <w:r w:rsidR="00C06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 1 </w:t>
      </w:r>
      <w:r w:rsidR="00C06AF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 15 Федерального закона от 26.07.2006 № 135-ФЗ «О защите конкуренции» прекратить,  в связи с отсутствием состава прав</w:t>
      </w:r>
      <w:r w:rsidR="00C06AF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06AF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нарушения.</w:t>
      </w:r>
    </w:p>
    <w:p w:rsidR="00C06AFD" w:rsidRPr="008C24F5" w:rsidRDefault="00E23044" w:rsidP="00C06A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6AF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6AFD" w:rsidRPr="008C2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Признать администрацию </w:t>
      </w:r>
      <w:proofErr w:type="spellStart"/>
      <w:r w:rsidR="00C06AF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Моргаушского</w:t>
      </w:r>
      <w:proofErr w:type="spellEnd"/>
      <w:r w:rsidR="00C06AF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="00C06AFD" w:rsidRPr="008C2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  нарушившей  статьи 1</w:t>
      </w:r>
      <w:r w:rsidR="00C06AFD"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9, 20</w:t>
      </w:r>
      <w:r w:rsidR="00C06AFD" w:rsidRPr="008C2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26.07.1006 № 135-ФЗ «О защ</w:t>
      </w:r>
      <w:r w:rsidR="00C06AFD" w:rsidRPr="008C24F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06AFD" w:rsidRPr="008C2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 конкуренции». </w:t>
      </w:r>
    </w:p>
    <w:p w:rsidR="00E23044" w:rsidRPr="00E23044" w:rsidRDefault="00E23044" w:rsidP="00E230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Выдать администрации </w:t>
      </w:r>
      <w:proofErr w:type="spellStart"/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Моргаушского</w:t>
      </w:r>
      <w:proofErr w:type="spellEnd"/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предписание об устранении выявленного нарушения антимонопольного законод</w:t>
      </w:r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2304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тельства</w:t>
      </w:r>
    </w:p>
    <w:p w:rsidR="00E23044" w:rsidRPr="00E23044" w:rsidRDefault="00E23044" w:rsidP="008C24F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23044" w:rsidRPr="00E23044" w:rsidRDefault="00E23044" w:rsidP="008C24F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23044" w:rsidRPr="00E23044" w:rsidRDefault="00E23044" w:rsidP="008C24F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23044" w:rsidRPr="00E23044" w:rsidRDefault="00E23044" w:rsidP="008C24F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C24F5" w:rsidRPr="008C24F5" w:rsidRDefault="008C24F5" w:rsidP="008C24F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C24F5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Председатель Комиссии                                                             </w:t>
      </w:r>
      <w:r w:rsidRPr="008C24F5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</w:t>
      </w:r>
      <w:proofErr w:type="spellStart"/>
      <w:r w:rsidRPr="008C24F5">
        <w:rPr>
          <w:rFonts w:ascii="Times New Roman" w:eastAsia="Times New Roman" w:hAnsi="Times New Roman" w:cs="Times New Roman"/>
          <w:bCs/>
          <w:sz w:val="26"/>
          <w:szCs w:val="26"/>
        </w:rPr>
        <w:t>В.В.Котеев</w:t>
      </w:r>
      <w:proofErr w:type="spellEnd"/>
    </w:p>
    <w:p w:rsidR="008C24F5" w:rsidRPr="008C24F5" w:rsidRDefault="008C24F5" w:rsidP="008C24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C24F5" w:rsidRPr="008C24F5" w:rsidRDefault="008C24F5" w:rsidP="008C24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C24F5">
        <w:rPr>
          <w:rFonts w:ascii="Times New Roman" w:eastAsia="Times New Roman" w:hAnsi="Times New Roman" w:cs="Times New Roman"/>
          <w:sz w:val="26"/>
          <w:szCs w:val="26"/>
        </w:rPr>
        <w:t xml:space="preserve">Члены Комиссии  </w:t>
      </w:r>
      <w:r w:rsidRPr="008C24F5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                          </w:t>
      </w:r>
      <w:r w:rsidRPr="008C24F5">
        <w:rPr>
          <w:rFonts w:ascii="Times New Roman" w:eastAsia="Times New Roman" w:hAnsi="Times New Roman" w:cs="Times New Roman"/>
          <w:sz w:val="26"/>
          <w:szCs w:val="26"/>
        </w:rPr>
        <w:tab/>
        <w:t xml:space="preserve"> С.Г. Данилова</w:t>
      </w:r>
    </w:p>
    <w:p w:rsidR="008C24F5" w:rsidRPr="008C24F5" w:rsidRDefault="008C24F5" w:rsidP="008C2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C24F5" w:rsidRPr="008C24F5" w:rsidRDefault="008C24F5" w:rsidP="008C2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C24F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Pr="008C24F5">
        <w:rPr>
          <w:rFonts w:ascii="Times New Roman" w:eastAsia="Times New Roman" w:hAnsi="Times New Roman" w:cs="Times New Roman"/>
          <w:sz w:val="26"/>
          <w:szCs w:val="26"/>
        </w:rPr>
        <w:t>Н.А.Давыдова</w:t>
      </w:r>
      <w:proofErr w:type="spellEnd"/>
    </w:p>
    <w:p w:rsidR="008C24F5" w:rsidRPr="008C24F5" w:rsidRDefault="008C24F5" w:rsidP="008C24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06AFD" w:rsidRDefault="00C06AFD" w:rsidP="008C24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6AFD" w:rsidRDefault="00C06AFD" w:rsidP="008C24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6AFD" w:rsidRDefault="00C06AFD" w:rsidP="008C24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24F5" w:rsidRPr="008C24F5" w:rsidRDefault="008C24F5" w:rsidP="008C24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24F5">
        <w:rPr>
          <w:rFonts w:ascii="Times New Roman" w:eastAsia="Times New Roman" w:hAnsi="Times New Roman" w:cs="Times New Roman"/>
          <w:b/>
          <w:sz w:val="20"/>
          <w:szCs w:val="20"/>
        </w:rPr>
        <w:t>В соответствии со статьей 52 Закона о защите конкуренции решение антимонопольного орг</w:t>
      </w:r>
      <w:r w:rsidRPr="008C24F5"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r w:rsidRPr="008C24F5">
        <w:rPr>
          <w:rFonts w:ascii="Times New Roman" w:eastAsia="Times New Roman" w:hAnsi="Times New Roman" w:cs="Times New Roman"/>
          <w:b/>
          <w:sz w:val="20"/>
          <w:szCs w:val="20"/>
        </w:rPr>
        <w:t>на может быть обжаловано в течение трех месяцев со дня его принятия.</w:t>
      </w:r>
      <w:r w:rsidRPr="008C2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8C24F5" w:rsidRPr="008C24F5" w:rsidRDefault="008C24F5" w:rsidP="008C24F5">
      <w:pPr>
        <w:rPr>
          <w:sz w:val="20"/>
          <w:szCs w:val="20"/>
        </w:rPr>
      </w:pPr>
    </w:p>
    <w:p w:rsidR="00B10DDE" w:rsidRDefault="00B10DDE"/>
    <w:sectPr w:rsidR="00B10DDE" w:rsidSect="00E42296">
      <w:headerReference w:type="default" r:id="rId23"/>
      <w:footerReference w:type="even" r:id="rId24"/>
      <w:pgSz w:w="11906" w:h="16838" w:code="9"/>
      <w:pgMar w:top="1134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96" w:rsidRDefault="00E42296">
      <w:pPr>
        <w:spacing w:after="0" w:line="240" w:lineRule="auto"/>
      </w:pPr>
      <w:r>
        <w:separator/>
      </w:r>
    </w:p>
  </w:endnote>
  <w:endnote w:type="continuationSeparator" w:id="0">
    <w:p w:rsidR="00E42296" w:rsidRDefault="00E4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96" w:rsidRDefault="00E42296" w:rsidP="00E4229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2296" w:rsidRDefault="00E422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96" w:rsidRDefault="00E42296">
      <w:pPr>
        <w:spacing w:after="0" w:line="240" w:lineRule="auto"/>
      </w:pPr>
      <w:r>
        <w:separator/>
      </w:r>
    </w:p>
  </w:footnote>
  <w:footnote w:type="continuationSeparator" w:id="0">
    <w:p w:rsidR="00E42296" w:rsidRDefault="00E4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96" w:rsidRDefault="00E42296" w:rsidP="00E42296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5305C">
      <w:rPr>
        <w:rStyle w:val="a7"/>
        <w:noProof/>
      </w:rPr>
      <w:t>2</w:t>
    </w:r>
    <w:r>
      <w:rPr>
        <w:rStyle w:val="a7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F5"/>
    <w:rsid w:val="00063C92"/>
    <w:rsid w:val="00090AAC"/>
    <w:rsid w:val="001A1A58"/>
    <w:rsid w:val="00480357"/>
    <w:rsid w:val="005069BD"/>
    <w:rsid w:val="005A3BB1"/>
    <w:rsid w:val="005C29BD"/>
    <w:rsid w:val="006F364A"/>
    <w:rsid w:val="008B6F19"/>
    <w:rsid w:val="008C24F5"/>
    <w:rsid w:val="00947994"/>
    <w:rsid w:val="0097202D"/>
    <w:rsid w:val="009D4178"/>
    <w:rsid w:val="00AF42E8"/>
    <w:rsid w:val="00B10DDE"/>
    <w:rsid w:val="00B5305C"/>
    <w:rsid w:val="00C06AFD"/>
    <w:rsid w:val="00C3560F"/>
    <w:rsid w:val="00C94F83"/>
    <w:rsid w:val="00D101FE"/>
    <w:rsid w:val="00E23044"/>
    <w:rsid w:val="00E42296"/>
    <w:rsid w:val="00F9061E"/>
    <w:rsid w:val="00FD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C2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C24F5"/>
  </w:style>
  <w:style w:type="paragraph" w:styleId="a5">
    <w:name w:val="header"/>
    <w:basedOn w:val="a"/>
    <w:link w:val="a6"/>
    <w:uiPriority w:val="99"/>
    <w:semiHidden/>
    <w:unhideWhenUsed/>
    <w:rsid w:val="008C2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24F5"/>
  </w:style>
  <w:style w:type="character" w:styleId="a7">
    <w:name w:val="page number"/>
    <w:basedOn w:val="a0"/>
    <w:rsid w:val="008C24F5"/>
  </w:style>
  <w:style w:type="table" w:styleId="a8">
    <w:name w:val="Table Grid"/>
    <w:basedOn w:val="a1"/>
    <w:rsid w:val="008C2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560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C2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C24F5"/>
  </w:style>
  <w:style w:type="paragraph" w:styleId="a5">
    <w:name w:val="header"/>
    <w:basedOn w:val="a"/>
    <w:link w:val="a6"/>
    <w:uiPriority w:val="99"/>
    <w:semiHidden/>
    <w:unhideWhenUsed/>
    <w:rsid w:val="008C2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24F5"/>
  </w:style>
  <w:style w:type="character" w:styleId="a7">
    <w:name w:val="page number"/>
    <w:basedOn w:val="a0"/>
    <w:rsid w:val="008C24F5"/>
  </w:style>
  <w:style w:type="table" w:styleId="a8">
    <w:name w:val="Table Grid"/>
    <w:basedOn w:val="a1"/>
    <w:rsid w:val="008C2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560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0EEBD64992C5A30627BBC8F3146FD0D8B3457DD93237799F24CA189C61949D7AC7521145Q8lFI" TargetMode="External"/><Relationship Id="rId13" Type="http://schemas.openxmlformats.org/officeDocument/2006/relationships/hyperlink" Target="consultantplus://offline/ref=B333EFD7308494B4BA4ACADDE908ADA1D3AF7BFEB32D1A6CD3FB62BD523203DDA4F7AD573A43AE2EH2r8I" TargetMode="External"/><Relationship Id="rId18" Type="http://schemas.openxmlformats.org/officeDocument/2006/relationships/hyperlink" Target="consultantplus://offline/ref=5E904064811E0BDDF7FB047D4D7232C1AE90B79472685B3D17AB45F8E48963562BB1E5B18C2387B3lBZ6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8DEDEDF1B9CDE7442E59AF2C7A87EA04CB30C56ABD34F1402CCFBC3FCDD1298075E03B6935CC6Dz6e2L" TargetMode="External"/><Relationship Id="rId7" Type="http://schemas.openxmlformats.org/officeDocument/2006/relationships/hyperlink" Target="consultantplus://offline/ref=F90EEBD64992C5A30627BBC8F3146FD0D8B3457DD93237799F24CA189C61949D7AC7521145Q8lFI" TargetMode="External"/><Relationship Id="rId12" Type="http://schemas.openxmlformats.org/officeDocument/2006/relationships/hyperlink" Target="consultantplus://offline/ref=B333EFD7308494B4BA4ACADDE908ADA1D3AF7BFEB32D1A6CD3FB62BD523203DDA4F7AD573A43AD27H2r1I" TargetMode="External"/><Relationship Id="rId17" Type="http://schemas.openxmlformats.org/officeDocument/2006/relationships/hyperlink" Target="consultantplus://offline/ref=5E904064811E0BDDF7FB047D4D7232C1AE90B794736E5B3D17AB45F8E48963562BB1E5B18C2380B2lBZF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904064811E0BDDF7FB047D4D7232C1AE90B79472685B3D17AB45F8E48963562BB1E5B18C2387B3lBZ6M" TargetMode="External"/><Relationship Id="rId20" Type="http://schemas.openxmlformats.org/officeDocument/2006/relationships/hyperlink" Target="consultantplus://offline/ref=5E904064811E0BDDF7FB047D4D7232C1AE90B79472685B3D17AB45F8E48963562BB1E5B6l8ZE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333EFD7308494B4BA4ACADDE908ADA1D3AF7BFEB32D1A6CD3FB62BD52H3r2I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BC91C8D2510617503957587DB210536FF1D86C582CE64A3EE7687A84A254847E5C133859307D8o6a8K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B333EFD7308494B4BA4ACADDE908ADA1D3AF7BFEB32D1A6CD3FB62BD523203DDA4F7AD573A43AF23H2r5I" TargetMode="External"/><Relationship Id="rId19" Type="http://schemas.openxmlformats.org/officeDocument/2006/relationships/hyperlink" Target="consultantplus://offline/ref=5E904064811E0BDDF7FB047D4D7232C1AE90B79472685B3D17AB45F8E4l8Z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33EFD7308494B4BA4ACADDE908ADA1D3AF7BFEB32D1A6CD3FB62BD52H3r2I" TargetMode="External"/><Relationship Id="rId14" Type="http://schemas.openxmlformats.org/officeDocument/2006/relationships/hyperlink" Target="consultantplus://offline/ref=6BC91C8D2510617503957587DB210536FF1D86C582CE64A3EE7687A84A254847E5C133859307D8o6aAK" TargetMode="External"/><Relationship Id="rId22" Type="http://schemas.openxmlformats.org/officeDocument/2006/relationships/hyperlink" Target="consultantplus://offline/ref=F90EEBD64992C5A30627BBC8F3146FD0D8B3457DD93237799F24CA189C61949D7AC75213408DA8A6QAl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Данилова</cp:lastModifiedBy>
  <cp:revision>5</cp:revision>
  <cp:lastPrinted>2012-07-24T12:12:00Z</cp:lastPrinted>
  <dcterms:created xsi:type="dcterms:W3CDTF">2012-07-24T05:38:00Z</dcterms:created>
  <dcterms:modified xsi:type="dcterms:W3CDTF">2013-01-17T15:18:00Z</dcterms:modified>
</cp:coreProperties>
</file>