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P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Pr="00CE571D" w:rsidRDefault="00CE571D" w:rsidP="00CE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Pr="00B64BBA" w:rsidRDefault="00CE571D" w:rsidP="00B64BBA">
      <w:pPr>
        <w:tabs>
          <w:tab w:val="left" w:pos="35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E571D" w:rsidRPr="00B64BBA" w:rsidRDefault="00CE571D" w:rsidP="00B6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рассмотрения жалобы на действия</w:t>
      </w:r>
    </w:p>
    <w:p w:rsidR="00CE571D" w:rsidRPr="00B64BBA" w:rsidRDefault="00CE571D" w:rsidP="00B64BB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аукционной комиссии Отделени</w:t>
      </w:r>
      <w:r w:rsidR="0026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Пенсионного фонда Российской Фед</w:t>
      </w:r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рации (государственное учреждение)</w:t>
      </w:r>
    </w:p>
    <w:p w:rsidR="00CE571D" w:rsidRPr="00B64BBA" w:rsidRDefault="00CE571D" w:rsidP="00B64BB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Чувашской Республике </w:t>
      </w:r>
      <w:proofErr w:type="gramStart"/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–Ч</w:t>
      </w:r>
      <w:proofErr w:type="gramEnd"/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увашии</w:t>
      </w:r>
    </w:p>
    <w:p w:rsidR="00CE571D" w:rsidRPr="00B64BBA" w:rsidRDefault="00CE571D" w:rsidP="00B6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71D" w:rsidRPr="00B64BBA" w:rsidRDefault="00CE571D" w:rsidP="00B6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71D" w:rsidRPr="00B64BBA" w:rsidRDefault="00CE571D" w:rsidP="00B64BBA">
      <w:pPr>
        <w:tabs>
          <w:tab w:val="left" w:pos="1916"/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Дело №   178 -К-2012</w:t>
      </w:r>
    </w:p>
    <w:p w:rsidR="00CE571D" w:rsidRPr="00B64BBA" w:rsidRDefault="00CE571D" w:rsidP="00B64BBA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71D" w:rsidRPr="00B64BBA" w:rsidRDefault="00CE571D" w:rsidP="00B64BBA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19 октября  2012 г.                                                                      г. Чебоксары</w:t>
      </w:r>
    </w:p>
    <w:p w:rsidR="00CE571D" w:rsidRPr="00B64BBA" w:rsidRDefault="00CE571D" w:rsidP="00B64BBA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71D" w:rsidRPr="00B64BBA" w:rsidRDefault="00CE571D" w:rsidP="00B64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  16 октября 2012 года</w:t>
      </w:r>
    </w:p>
    <w:p w:rsidR="00CE571D" w:rsidRPr="00B64BBA" w:rsidRDefault="00CE571D" w:rsidP="00B64BBA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изготовлено в полном объеме  19 октября 2012 года</w:t>
      </w:r>
    </w:p>
    <w:p w:rsidR="00CE571D" w:rsidRPr="00B64BBA" w:rsidRDefault="00CE571D" w:rsidP="00B64BBA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71D" w:rsidRPr="00B64BBA" w:rsidRDefault="00CE571D" w:rsidP="00B64BBA">
      <w:pPr>
        <w:tabs>
          <w:tab w:val="left" w:pos="1916"/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71D" w:rsidRPr="00B64BBA" w:rsidRDefault="00CE571D" w:rsidP="00B64B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Управления Федеральной антимонопольной службы по Ч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вашской Республике - Чувашии по контролю в сфере размещения заказов, </w:t>
      </w: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</w:t>
      </w:r>
      <w:proofErr w:type="gram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приказов Чувашского УФАС России  от 01.08.2012 № 300   </w:t>
      </w:r>
      <w:r w:rsidRPr="00B64BB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 от 20.08.2012 № 327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составе:</w:t>
      </w:r>
    </w:p>
    <w:p w:rsidR="00B64BBA" w:rsidRDefault="00CE571D" w:rsidP="00B64B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В.А.  - руководителя Чувашского  УФАС  (председатель ко</w:t>
      </w:r>
      <w:r w:rsid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CE571D" w:rsidRPr="00B64BBA" w:rsidRDefault="00B64BBA" w:rsidP="00B64B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миссии);</w:t>
      </w:r>
    </w:p>
    <w:p w:rsidR="00B64BBA" w:rsidRDefault="00CE571D" w:rsidP="00B64BBA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Чагиной</w:t>
      </w:r>
      <w:proofErr w:type="spellEnd"/>
      <w:r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Г.В. </w:t>
      </w:r>
      <w:r w:rsid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-</w:t>
      </w:r>
      <w:r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начальника отдела  </w:t>
      </w:r>
      <w:proofErr w:type="gramStart"/>
      <w:r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контроля  за</w:t>
      </w:r>
      <w:proofErr w:type="gramEnd"/>
      <w:r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размещением заказов </w:t>
      </w:r>
    </w:p>
    <w:p w:rsidR="00CE571D" w:rsidRPr="00B64BBA" w:rsidRDefault="00B64BBA" w:rsidP="00B64BBA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</w:t>
      </w:r>
      <w:r w:rsidR="00CE571D"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 торгов </w:t>
      </w:r>
      <w:proofErr w:type="gramStart"/>
      <w:r w:rsidR="00CE571D"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Чувашского</w:t>
      </w:r>
      <w:proofErr w:type="gramEnd"/>
      <w:r w:rsidR="00CE571D"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УФАС России (член  комиссии);</w:t>
      </w:r>
    </w:p>
    <w:p w:rsidR="00B64BBA" w:rsidRDefault="00B64BBA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</w:t>
      </w:r>
      <w:r w:rsidR="00CE571D"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Давыдовой Н.А. - специалиста-эксперта отдела контроля за </w:t>
      </w:r>
      <w:proofErr w:type="spellStart"/>
      <w:r w:rsidR="00CE571D"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размещени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</w:p>
    <w:p w:rsidR="00CE571D" w:rsidRPr="00B64BBA" w:rsidRDefault="00B64BBA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</w:t>
      </w:r>
      <w:r w:rsidR="00CE571D"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ем заказов </w:t>
      </w:r>
      <w:r w:rsidR="00265A5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 торгов </w:t>
      </w:r>
      <w:proofErr w:type="gramStart"/>
      <w:r w:rsidR="00CE571D"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Чувашского</w:t>
      </w:r>
      <w:proofErr w:type="gramEnd"/>
      <w:r w:rsidR="00CE571D" w:rsidRPr="00B64BB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УФАС России,</w:t>
      </w:r>
    </w:p>
    <w:p w:rsidR="00CE571D" w:rsidRPr="00B64BBA" w:rsidRDefault="00CE571D" w:rsidP="00B64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отделения  Пенсионного фонда Росси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(государственное учреждение) по Чувашской Республике-Чувашии- </w:t>
      </w:r>
    </w:p>
    <w:p w:rsidR="00CE571D" w:rsidRPr="00B64BBA" w:rsidRDefault="00CE571D" w:rsidP="00B64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Соснина Анатолия Анатольевича (по доверенности от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122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15.10.2012 №10901-35/7089;</w:t>
      </w:r>
    </w:p>
    <w:p w:rsidR="00901229" w:rsidRPr="00B64BBA" w:rsidRDefault="00901229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отсутствии заявителя – ЗАО «Амтел-Сервис», представившего ход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тайство от 15.10.2012 № 474 о рассмотрении жалобы в его отсутствие, </w:t>
      </w:r>
    </w:p>
    <w:p w:rsidR="00CE571D" w:rsidRPr="00B64BBA" w:rsidRDefault="00CE571D" w:rsidP="00B64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рассмотрев жалобу </w:t>
      </w:r>
      <w:r w:rsidR="00901229"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 </w:t>
      </w:r>
      <w:r w:rsid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1229"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Амтел-Сервис»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действия аукционной к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миссии </w:t>
      </w:r>
      <w:r w:rsidR="0090122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 Пенсионного фонда Российской Федерации (госуда</w:t>
      </w:r>
      <w:r w:rsidR="0090122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122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учреждение) по Чувашской Республике-Чувашии (далее – Отдел</w:t>
      </w:r>
      <w:r w:rsidR="0090122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122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нарушении Федерального закона от 21.07.2005 № 94-ФЗ «О размещ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заказов на поставки товаров, выполнение работ, оказание услуг для го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ударственных и муниципальных нужд» (далее – Закон о размещении зак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зов), </w:t>
      </w:r>
    </w:p>
    <w:p w:rsidR="00CE571D" w:rsidRPr="00B64BBA" w:rsidRDefault="00CE571D" w:rsidP="00B64B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71D" w:rsidRPr="00B64BBA" w:rsidRDefault="00CE571D" w:rsidP="00B64BB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УСТАНОВИЛА:</w:t>
      </w:r>
    </w:p>
    <w:p w:rsidR="00CE571D" w:rsidRPr="00B64BBA" w:rsidRDefault="00CE571D" w:rsidP="00B64BB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A14" w:rsidRPr="00B64BBA" w:rsidRDefault="00901229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</w:t>
      </w:r>
      <w:r w:rsidR="009E6A14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Амтел-Сервис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571D"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 в Управление Федерал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антимонопольной службы по Чувашской Республике – Чувашии с жал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на действия аукционной комиссии администрации </w:t>
      </w:r>
      <w:r w:rsidR="009E6A14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 Пенсио</w:t>
      </w:r>
      <w:r w:rsidR="009E6A14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6A14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фонда Российской Федерации </w:t>
      </w:r>
      <w:r w:rsidR="00265A5A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(государственное учреждение) по Чува</w:t>
      </w:r>
      <w:r w:rsidR="00265A5A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65A5A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Республике-Чувашии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открытого аукциона в электро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на </w:t>
      </w:r>
      <w:r w:rsidR="009E6A14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 государственного  контракта на поставку телекоммуникационного оборудования (извещение № 0215100000412000062).</w:t>
      </w:r>
    </w:p>
    <w:p w:rsidR="00742917" w:rsidRPr="00B64BBA" w:rsidRDefault="00742917" w:rsidP="00B64BB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Жалоба подана в </w:t>
      </w:r>
      <w:proofErr w:type="gramStart"/>
      <w:r w:rsidRPr="00B64B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Чувашское</w:t>
      </w:r>
      <w:proofErr w:type="gramEnd"/>
      <w:r w:rsidRPr="00B64B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УФАС России с соблюдением требований, установленных статьями 57, 58 Закона о размещении заказов.</w:t>
      </w:r>
    </w:p>
    <w:p w:rsidR="00DC4611" w:rsidRPr="00B64BBA" w:rsidRDefault="00DC4611" w:rsidP="00B64B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BBA">
        <w:rPr>
          <w:rFonts w:ascii="Times New Roman" w:hAnsi="Times New Roman" w:cs="Times New Roman"/>
          <w:sz w:val="28"/>
          <w:szCs w:val="28"/>
        </w:rPr>
        <w:t xml:space="preserve">Заказчик  - отделение  Пенсионного фонда Российской Федерации (государственное учреждение) по Чувашской Республике    30.08.2012  года на официальном сайте </w:t>
      </w:r>
      <w:r w:rsidRPr="00B64BB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B64BBA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B64BBA">
        <w:rPr>
          <w:rFonts w:ascii="Times New Roman" w:hAnsi="Times New Roman" w:cs="Times New Roman"/>
          <w:sz w:val="28"/>
          <w:szCs w:val="28"/>
          <w:u w:val="single"/>
          <w:lang w:val="en-US"/>
        </w:rPr>
        <w:t>zakupki</w:t>
      </w:r>
      <w:proofErr w:type="spellEnd"/>
      <w:r w:rsidRPr="00B64BB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64BBA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B64BB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64BB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64BBA">
        <w:rPr>
          <w:rFonts w:ascii="Times New Roman" w:hAnsi="Times New Roman" w:cs="Times New Roman"/>
          <w:sz w:val="28"/>
          <w:szCs w:val="28"/>
        </w:rPr>
        <w:t xml:space="preserve">  разместил  извещение  № 0215100000412000062)   о проведении открытого аукциона в электронной форме </w:t>
      </w:r>
      <w:r w:rsidR="00265A5A">
        <w:rPr>
          <w:rFonts w:ascii="Times New Roman" w:hAnsi="Times New Roman" w:cs="Times New Roman"/>
          <w:sz w:val="28"/>
          <w:szCs w:val="28"/>
        </w:rPr>
        <w:t xml:space="preserve">на </w:t>
      </w:r>
      <w:r w:rsidRPr="00B64BBA">
        <w:rPr>
          <w:rFonts w:ascii="Times New Roman" w:hAnsi="Times New Roman" w:cs="Times New Roman"/>
          <w:sz w:val="28"/>
          <w:szCs w:val="28"/>
        </w:rPr>
        <w:t>право заключения  государственного  контракта на поставку тел</w:t>
      </w:r>
      <w:r w:rsidRPr="00B64BBA">
        <w:rPr>
          <w:rFonts w:ascii="Times New Roman" w:hAnsi="Times New Roman" w:cs="Times New Roman"/>
          <w:sz w:val="28"/>
          <w:szCs w:val="28"/>
        </w:rPr>
        <w:t>е</w:t>
      </w:r>
      <w:r w:rsidRPr="00B64BBA">
        <w:rPr>
          <w:rFonts w:ascii="Times New Roman" w:hAnsi="Times New Roman" w:cs="Times New Roman"/>
          <w:sz w:val="28"/>
          <w:szCs w:val="28"/>
        </w:rPr>
        <w:t>коммуникационного оборудования с начальной (максимальной) ценой ко</w:t>
      </w:r>
      <w:r w:rsidRPr="00B64BBA">
        <w:rPr>
          <w:rFonts w:ascii="Times New Roman" w:hAnsi="Times New Roman" w:cs="Times New Roman"/>
          <w:sz w:val="28"/>
          <w:szCs w:val="28"/>
        </w:rPr>
        <w:t>н</w:t>
      </w:r>
      <w:r w:rsidRPr="00B64BBA">
        <w:rPr>
          <w:rFonts w:ascii="Times New Roman" w:hAnsi="Times New Roman" w:cs="Times New Roman"/>
          <w:sz w:val="28"/>
          <w:szCs w:val="28"/>
        </w:rPr>
        <w:t>тракта  6316000 рублей.</w:t>
      </w:r>
      <w:proofErr w:type="gramEnd"/>
    </w:p>
    <w:p w:rsidR="00DC4611" w:rsidRPr="00B64BBA" w:rsidRDefault="00DC4611" w:rsidP="000B56D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торгов определен сайт электронной торговой площадки  ГУП  «Агентство по   государственному  заказу,  инвестиционной деятельности и межрегиональным связям  Республики  Татарстан»</w:t>
      </w:r>
      <w:r w:rsidR="000B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7C0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zakazrf</w:t>
      </w:r>
      <w:proofErr w:type="spell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611" w:rsidRPr="00B64BBA" w:rsidRDefault="00B64BBA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указанного в извещении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аукциона и </w:t>
      </w:r>
      <w:proofErr w:type="gramStart"/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611" w:rsidRPr="00B64BBA" w:rsidRDefault="00DC4611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об аукционе срока окончания рассмотрения заявок на участие в аукционе  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от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электронной торговой площадки  пост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 две заявки. </w:t>
      </w:r>
    </w:p>
    <w:p w:rsidR="00DC4611" w:rsidRPr="00B64BBA" w:rsidRDefault="00DC4611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№64/1 рассмотрения заявок на участие  в открытом аукционе в электронной форме от  02 октября 2012 г.    заявка участника №1 не допущена к участию в аукционе. На основании части 10 статьи 41.9 Закона о размещении заказов аукцион признан несостоявшимся. </w:t>
      </w:r>
    </w:p>
    <w:p w:rsidR="00DC4611" w:rsidRPr="00B64BBA" w:rsidRDefault="00DC4611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№64/2  подведения итогов аукциона в электронной форме от 03 октября 2012 г. заявка участника №2  ООО «НПЦ «Система»  соответству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аукционной документации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 признано  победителем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611" w:rsidRPr="00B64BBA" w:rsidRDefault="00DC4611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611" w:rsidRPr="00B64BBA" w:rsidRDefault="00DC4611" w:rsidP="00B64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15" w:rsidRPr="00B64BBA" w:rsidRDefault="009E6A14" w:rsidP="00B64B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ЗАО «Амтел-Сервис»</w:t>
      </w:r>
      <w:r w:rsidR="00CE571D"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(заявка №</w:t>
      </w:r>
      <w:r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571D"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своей</w:t>
      </w:r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жалобе указывает, что  </w:t>
      </w:r>
      <w:proofErr w:type="gramStart"/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="00CE571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аукционной комиссии об отказе в допуске к аукциону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</w:t>
      </w:r>
      <w:r w:rsidR="00647E15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основаниям:</w:t>
      </w:r>
    </w:p>
    <w:p w:rsidR="009E6A14" w:rsidRPr="00B64BBA" w:rsidRDefault="00647E15" w:rsidP="00B64B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1.Аукционной комиссией указано, что  первая часть заявки не соде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конкретных показателей предлагаемого к поставке товара, а именно в подпункте «Инкапсуляция» п.2.2 Технического предложения на поставку т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лекоммуникационного оборудования» указаны неконкретные показатели по «максимальному количеству поддерживаемых интерфейсов протокола 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MLPPP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 максимальному количеству поддержива</w:t>
      </w:r>
      <w:r w:rsidR="002225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интерфейсов пр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токола 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MLFR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сопровождаемые словами  «не менее»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458C6" w:rsidRPr="00B64BBA" w:rsidRDefault="00647E15" w:rsidP="00B64B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58C6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нескольких стран происхождения товаров, относящихся к поставке одного наименования товара;</w:t>
      </w:r>
    </w:p>
    <w:p w:rsidR="001458C6" w:rsidRPr="00B64BBA" w:rsidRDefault="001458C6" w:rsidP="00B64BB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отсутствие указания  страны происхождения  товара 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предлагаемых к поставке, в частности  для комплекта защиты от пер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и детектора сигнала «отбой» (отбойники).</w:t>
      </w:r>
    </w:p>
    <w:p w:rsidR="00CE571D" w:rsidRPr="00B64BBA" w:rsidRDefault="00CE571D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191FD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ПФ РФ по Чувашской Республик</w:t>
      </w:r>
      <w:r w:rsidR="00233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FD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 признал, и пояснил, что аукционная комиссия правомерно отклонила данн</w:t>
      </w:r>
      <w:r w:rsidR="00191FD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участника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аукциона, по основаниям</w:t>
      </w:r>
      <w:r w:rsidR="002C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</w:t>
      </w:r>
      <w:r w:rsidR="00994D98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токоле рассмотрения первых частей заявок от </w:t>
      </w:r>
      <w:r w:rsidR="00191FD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1FD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года. </w:t>
      </w:r>
    </w:p>
    <w:p w:rsidR="00CE571D" w:rsidRPr="00B64BBA" w:rsidRDefault="00CE571D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лиц, участвующих в рассмотрении дела, Комиссия Чувашского УФАС России по контролю в сф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размещения заказов приходит к следующему.</w:t>
      </w:r>
    </w:p>
    <w:p w:rsidR="00CE571D" w:rsidRPr="00B64BBA" w:rsidRDefault="00CE571D" w:rsidP="00B64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пункта 1 части 4 статьи 41.6 Закона о размещении заказов, д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кументация об открытом аукционе в электронной форме наряду с предусмо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ренными </w:t>
      </w:r>
      <w:hyperlink r:id="rId7" w:history="1">
        <w:r w:rsidRPr="00B64BB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3</w:t>
        </w:r>
      </w:hyperlink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сведениями должна содержать  свед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</w:t>
      </w:r>
      <w:proofErr w:type="gram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функциональным характерист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(потребительским свойствам) товара, требования к размерам, упаковке, отгрузке товара, требования к результатам работ и иные показатели, связа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вивалентности предлагаемого к поставке или к использованию при выполн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работ, оказании услуг товара максимальные и (или) минимальные знач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таких показателей и показатели, значения которых не могут изменяться.</w:t>
      </w:r>
    </w:p>
    <w:p w:rsidR="00CE571D" w:rsidRPr="00B64BBA" w:rsidRDefault="00CE571D" w:rsidP="00B64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названные положения законодательства, заказчик установил требования к  техническим и функциональным характеристикам материалов в разделе «Требования к техническим и функциональным характеристикам (материалов и оборудования) документации об аукционе.</w:t>
      </w:r>
    </w:p>
    <w:p w:rsidR="00CE571D" w:rsidRPr="00B64BBA" w:rsidRDefault="00CE571D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правилам пункта 3 части 4 статьи 41.8 Закона о размещении зак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первая часть заявки на участие в открытом аукционе в электронной фо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должна содержать при размещении заказа на выполнение работ, оказание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услуг, для выполнения, оказания которых используется товар следующие сведения:</w:t>
      </w:r>
    </w:p>
    <w:p w:rsidR="00CE571D" w:rsidRPr="00B64BBA" w:rsidRDefault="00CE571D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согласие, предусмотренное </w:t>
      </w:r>
      <w:hyperlink r:id="rId8" w:history="1">
        <w:r w:rsidRPr="00B64BB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</w:t>
        </w:r>
      </w:hyperlink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в том чи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означающее согласие на использование товара, </w:t>
      </w: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указание</w:t>
      </w:r>
      <w:proofErr w:type="gramEnd"/>
      <w:r w:rsidRPr="00B64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товарный знак которого содержится в документации об открытом аукционе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согласие, предусмотренное </w:t>
      </w:r>
      <w:hyperlink r:id="rId9" w:history="1">
        <w:r w:rsidRPr="00B64BB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</w:t>
        </w:r>
      </w:hyperlink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указание на товарный знак (его словесное обозначение) предлагаемого для использования товара и ко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кретные показатели этого товара, соответствующие значениям эквивалентн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установленным документацией об открытом аукционе в электронной форме, </w:t>
      </w: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размещения заказа предлагает для использования т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вар, который является эквивалентным товару, указанному в документации об открытом аукционе в электронной форме, при условии содержания в док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CE571D" w:rsidRPr="00B64BBA" w:rsidRDefault="00CE571D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согласие, предусмотренное </w:t>
      </w:r>
      <w:hyperlink r:id="rId10" w:history="1">
        <w:r w:rsidRPr="00B64BB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</w:t>
        </w:r>
      </w:hyperlink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части,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об открытом аукционе в электронной форме указания на товарный знак используемого товара.</w:t>
      </w:r>
      <w:proofErr w:type="gramEnd"/>
    </w:p>
    <w:p w:rsidR="00994D98" w:rsidRPr="00B64BBA" w:rsidRDefault="00994D98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разделе 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карты аукциона «инстру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по заполнению заявки на участие в аукционе» указано, что  «если учас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размещения заказа полностью согласен на поставку товара  с товарными знаками, указанными в аукционной документации, то такому участнику необходимо (достаточно) указать только лишь «согласие на поставку то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ра», подписанное электронной цифровой подписью участника размещения заказа.</w:t>
      </w:r>
      <w:proofErr w:type="gramEnd"/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25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583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едставление иных сведений и документов, не предусмотренных 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94583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41.8 Закона </w:t>
      </w:r>
      <w:r w:rsidR="0086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заказов </w:t>
      </w:r>
      <w:r w:rsidR="0094583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требуется и не обязательно».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115" w:rsidRDefault="00860115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>. «Требования к оборудованию систем передачи данных», части 2 «Требования к поставляемому маршрутизатору»  аукционной док</w:t>
      </w:r>
      <w:r w:rsid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 заказчиком заявлено о необходимости  осуществления поставки  1 маршрутизатора «</w:t>
      </w:r>
      <w:r w:rsidR="00230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Juniper</w:t>
      </w:r>
      <w:r w:rsidR="00230BD5" w:rsidRP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Networks</w:t>
      </w:r>
      <w:r w:rsidR="00230BD5" w:rsidRP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230BD5" w:rsidRP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>-4350-</w:t>
      </w:r>
      <w:r w:rsidR="00230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JB</w:t>
      </w:r>
      <w:r w:rsidR="00230BD5" w:rsidRP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0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  <w:r w:rsidR="00230BD5" w:rsidRP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«эквивалент») (п.2.1.).</w:t>
      </w:r>
    </w:p>
    <w:p w:rsidR="00AB2336" w:rsidRDefault="00230BD5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под №1(ЗАО «Амтел Сервис»» предложен товар с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кретным товарным знаком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Juniper</w:t>
      </w:r>
      <w:r w:rsidRP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Networks</w:t>
      </w:r>
      <w:r w:rsidRP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>-4350-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JB</w:t>
      </w:r>
      <w:r w:rsidRPr="00230B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</w:t>
      </w:r>
      <w:r w:rsidR="00AB23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7C03E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</w:t>
      </w:r>
      <w:r w:rsidR="00AB23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B23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чиком  в документации об аукционе.</w:t>
      </w:r>
      <w:proofErr w:type="gramEnd"/>
    </w:p>
    <w:p w:rsidR="0094583D" w:rsidRPr="00B64BBA" w:rsidRDefault="0094583D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исполняя требования  </w:t>
      </w:r>
      <w:r w:rsidR="00AB23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51D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2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,   и  выр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 в первой части заявки полное согласие на поставку товара с товарным знак</w:t>
      </w:r>
      <w:r w:rsidR="00AB23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м,  указанными в аукционной документации, участник под № 1 полностью и надлежащим образом выполнил требования аукционной документ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</w:t>
      </w:r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265A5A">
        <w:rPr>
          <w:rFonts w:ascii="Times New Roman" w:eastAsia="Times New Roman" w:hAnsi="Times New Roman" w:cs="Times New Roman"/>
          <w:sz w:val="28"/>
          <w:szCs w:val="28"/>
          <w:lang w:eastAsia="ru-RU"/>
        </w:rPr>
        <w:t>. а) п.3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11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.4 ст.41.8 Закона о размещении заказов.</w:t>
      </w:r>
    </w:p>
    <w:p w:rsidR="00230BD5" w:rsidRDefault="00230BD5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83D" w:rsidRPr="00B64BBA" w:rsidRDefault="0094583D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Следовательно, иные сведения предоставленные участником разм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заказа при рассмотрении первой части заявок аукционной комиссией не </w:t>
      </w:r>
      <w:r w:rsidR="00151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рассмотрению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076" w:rsidRPr="00B64BBA" w:rsidRDefault="00E51076" w:rsidP="00B64B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BA">
        <w:rPr>
          <w:rFonts w:ascii="Times New Roman" w:hAnsi="Times New Roman" w:cs="Times New Roman"/>
          <w:sz w:val="28"/>
          <w:szCs w:val="28"/>
        </w:rPr>
        <w:t xml:space="preserve">  Таким образом,  заявление ЗАО  «Амтел-Сервис» по указанному о</w:t>
      </w:r>
      <w:r w:rsidRPr="00B64BBA">
        <w:rPr>
          <w:rFonts w:ascii="Times New Roman" w:hAnsi="Times New Roman" w:cs="Times New Roman"/>
          <w:sz w:val="28"/>
          <w:szCs w:val="28"/>
        </w:rPr>
        <w:t>с</w:t>
      </w:r>
      <w:r w:rsidRPr="00B64BBA">
        <w:rPr>
          <w:rFonts w:ascii="Times New Roman" w:hAnsi="Times New Roman" w:cs="Times New Roman"/>
          <w:sz w:val="28"/>
          <w:szCs w:val="28"/>
        </w:rPr>
        <w:t xml:space="preserve">нованию  является обоснованным.  </w:t>
      </w:r>
    </w:p>
    <w:p w:rsidR="001632B4" w:rsidRPr="00B64BBA" w:rsidRDefault="0094583D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32B4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32B4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</w:t>
      </w:r>
      <w:r w:rsidR="001632B4" w:rsidRPr="00B64BBA">
        <w:rPr>
          <w:rFonts w:ascii="Times New Roman" w:hAnsi="Times New Roman" w:cs="Times New Roman"/>
          <w:sz w:val="28"/>
          <w:szCs w:val="28"/>
        </w:rPr>
        <w:t>9  Приказа Минэкономразвития Российской Ф</w:t>
      </w:r>
      <w:r w:rsidR="001632B4" w:rsidRPr="00B64BBA">
        <w:rPr>
          <w:rFonts w:ascii="Times New Roman" w:hAnsi="Times New Roman" w:cs="Times New Roman"/>
          <w:sz w:val="28"/>
          <w:szCs w:val="28"/>
        </w:rPr>
        <w:t>е</w:t>
      </w:r>
      <w:r w:rsidR="001632B4" w:rsidRPr="00B64BBA">
        <w:rPr>
          <w:rFonts w:ascii="Times New Roman" w:hAnsi="Times New Roman" w:cs="Times New Roman"/>
          <w:sz w:val="28"/>
          <w:szCs w:val="28"/>
        </w:rPr>
        <w:t>дерации от 12.03.2012 №120</w:t>
      </w:r>
      <w:r w:rsidR="00F06EB0" w:rsidRPr="00B64BBA">
        <w:rPr>
          <w:rFonts w:ascii="Times New Roman" w:hAnsi="Times New Roman" w:cs="Times New Roman"/>
          <w:sz w:val="28"/>
          <w:szCs w:val="28"/>
        </w:rPr>
        <w:t xml:space="preserve"> «Об условиях допуска товаров,  происходящих из иностранных государств, для целей размещения заказов на поставки тов</w:t>
      </w:r>
      <w:r w:rsidR="00F06EB0" w:rsidRPr="00B64BBA">
        <w:rPr>
          <w:rFonts w:ascii="Times New Roman" w:hAnsi="Times New Roman" w:cs="Times New Roman"/>
          <w:sz w:val="28"/>
          <w:szCs w:val="28"/>
        </w:rPr>
        <w:t>а</w:t>
      </w:r>
      <w:r w:rsidR="00F06EB0" w:rsidRPr="00B64BBA">
        <w:rPr>
          <w:rFonts w:ascii="Times New Roman" w:hAnsi="Times New Roman" w:cs="Times New Roman"/>
          <w:sz w:val="28"/>
          <w:szCs w:val="28"/>
        </w:rPr>
        <w:t xml:space="preserve">ров для нужд заказчиков» </w:t>
      </w:r>
      <w:r w:rsidR="001632B4" w:rsidRPr="00B64BBA">
        <w:rPr>
          <w:rFonts w:ascii="Times New Roman" w:hAnsi="Times New Roman" w:cs="Times New Roman"/>
          <w:sz w:val="28"/>
          <w:szCs w:val="28"/>
        </w:rPr>
        <w:t xml:space="preserve"> Страной происхождения товаров считается стр</w:t>
      </w:r>
      <w:r w:rsidR="001632B4" w:rsidRPr="00B64BBA">
        <w:rPr>
          <w:rFonts w:ascii="Times New Roman" w:hAnsi="Times New Roman" w:cs="Times New Roman"/>
          <w:sz w:val="28"/>
          <w:szCs w:val="28"/>
        </w:rPr>
        <w:t>а</w:t>
      </w:r>
      <w:r w:rsidR="001632B4" w:rsidRPr="00B64BBA">
        <w:rPr>
          <w:rFonts w:ascii="Times New Roman" w:hAnsi="Times New Roman" w:cs="Times New Roman"/>
          <w:sz w:val="28"/>
          <w:szCs w:val="28"/>
        </w:rPr>
        <w:t>на, в которой товары были полностью произведены или подвергнуты дост</w:t>
      </w:r>
      <w:r w:rsidR="001632B4" w:rsidRPr="00B64BBA">
        <w:rPr>
          <w:rFonts w:ascii="Times New Roman" w:hAnsi="Times New Roman" w:cs="Times New Roman"/>
          <w:sz w:val="28"/>
          <w:szCs w:val="28"/>
        </w:rPr>
        <w:t>а</w:t>
      </w:r>
      <w:r w:rsidR="001632B4" w:rsidRPr="00B64BBA">
        <w:rPr>
          <w:rFonts w:ascii="Times New Roman" w:hAnsi="Times New Roman" w:cs="Times New Roman"/>
          <w:sz w:val="28"/>
          <w:szCs w:val="28"/>
        </w:rPr>
        <w:t>точной обработке (переработке) в соответствии с критериями, установле</w:t>
      </w:r>
      <w:r w:rsidR="001632B4" w:rsidRPr="00B64BBA">
        <w:rPr>
          <w:rFonts w:ascii="Times New Roman" w:hAnsi="Times New Roman" w:cs="Times New Roman"/>
          <w:sz w:val="28"/>
          <w:szCs w:val="28"/>
        </w:rPr>
        <w:t>н</w:t>
      </w:r>
      <w:r w:rsidR="001632B4" w:rsidRPr="00B64BBA">
        <w:rPr>
          <w:rFonts w:ascii="Times New Roman" w:hAnsi="Times New Roman" w:cs="Times New Roman"/>
          <w:sz w:val="28"/>
          <w:szCs w:val="28"/>
        </w:rPr>
        <w:t>ными таможенным законодательством Таможенного союза.</w:t>
      </w:r>
      <w:proofErr w:type="gramEnd"/>
      <w:r w:rsidR="001632B4" w:rsidRPr="00B64BBA">
        <w:rPr>
          <w:rFonts w:ascii="Times New Roman" w:hAnsi="Times New Roman" w:cs="Times New Roman"/>
          <w:sz w:val="28"/>
          <w:szCs w:val="28"/>
        </w:rPr>
        <w:t xml:space="preserve"> При этом под страной происхождения товаров может пониматься группа стран либо там</w:t>
      </w:r>
      <w:r w:rsidR="001632B4" w:rsidRPr="00B64BBA">
        <w:rPr>
          <w:rFonts w:ascii="Times New Roman" w:hAnsi="Times New Roman" w:cs="Times New Roman"/>
          <w:sz w:val="28"/>
          <w:szCs w:val="28"/>
        </w:rPr>
        <w:t>о</w:t>
      </w:r>
      <w:r w:rsidR="001632B4" w:rsidRPr="00B64BBA">
        <w:rPr>
          <w:rFonts w:ascii="Times New Roman" w:hAnsi="Times New Roman" w:cs="Times New Roman"/>
          <w:sz w:val="28"/>
          <w:szCs w:val="28"/>
        </w:rPr>
        <w:t>женные союзы стран, либо регион или часть страны, если имеется необход</w:t>
      </w:r>
      <w:r w:rsidR="001632B4" w:rsidRPr="00B64BBA">
        <w:rPr>
          <w:rFonts w:ascii="Times New Roman" w:hAnsi="Times New Roman" w:cs="Times New Roman"/>
          <w:sz w:val="28"/>
          <w:szCs w:val="28"/>
        </w:rPr>
        <w:t>и</w:t>
      </w:r>
      <w:r w:rsidR="001632B4" w:rsidRPr="00B64BBA">
        <w:rPr>
          <w:rFonts w:ascii="Times New Roman" w:hAnsi="Times New Roman" w:cs="Times New Roman"/>
          <w:sz w:val="28"/>
          <w:szCs w:val="28"/>
        </w:rPr>
        <w:t>мость их выделения для целей определения страны происхождения товаров.</w:t>
      </w:r>
    </w:p>
    <w:p w:rsidR="00065D22" w:rsidRDefault="00F36C59" w:rsidP="00065D22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94583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Российской Федер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позволяет  указание участником размещения заказа  нескольких стран  в качестве страны происхождения (группы стран)  поставляемого оборудов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1587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D22" w:rsidRDefault="00065D22" w:rsidP="00065D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6C5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2C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в позициях № 1, 3,5,6,7,8, 10, 11, 12, 14, 15, 16, 18, 19, 20, 22,23, 24, 25, 27, 28, 29, 30, 31, 33. 34, 35, 36, 38, 39, 40, 42, 43, 44, 45, 47, 48, 49, 50, 51, 52, 53, 54. 55, 56, 57, 58, 59, 60, 61, 62, 63, 64, 65, 66, 67, 68, 69, 71, 72, 73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74, 76 указано несколько стран происхождения, например США, Канада, Китай (поз.№3), что не противоречит действующему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ству.</w:t>
      </w:r>
    </w:p>
    <w:p w:rsidR="00415879" w:rsidRPr="00B64BBA" w:rsidRDefault="00415879" w:rsidP="00B64B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BA">
        <w:rPr>
          <w:rFonts w:ascii="Times New Roman" w:hAnsi="Times New Roman" w:cs="Times New Roman"/>
          <w:sz w:val="28"/>
          <w:szCs w:val="28"/>
        </w:rPr>
        <w:t>Следовательно,  заявление ЗАО  «Амтел-Сервис» по указанному осн</w:t>
      </w:r>
      <w:r w:rsidRPr="00B64BBA">
        <w:rPr>
          <w:rFonts w:ascii="Times New Roman" w:hAnsi="Times New Roman" w:cs="Times New Roman"/>
          <w:sz w:val="28"/>
          <w:szCs w:val="28"/>
        </w:rPr>
        <w:t>о</w:t>
      </w:r>
      <w:r w:rsidRPr="00B64BBA">
        <w:rPr>
          <w:rFonts w:ascii="Times New Roman" w:hAnsi="Times New Roman" w:cs="Times New Roman"/>
          <w:sz w:val="28"/>
          <w:szCs w:val="28"/>
        </w:rPr>
        <w:t xml:space="preserve">ванию  является обоснованным.  </w:t>
      </w:r>
    </w:p>
    <w:p w:rsidR="00A31CFD" w:rsidRDefault="00A31CFD" w:rsidP="00A31C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587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3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587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п.4, 9, 13, 17, 21, 26, 37, 41, 46, 70, 75  Спецификации поставля</w:t>
      </w:r>
      <w:r w:rsidR="0041587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587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оборудования участник под №1 (ЗАО «Амтел-Сервис») не указ</w:t>
      </w:r>
      <w:r w:rsidR="00F06EB0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41587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="0041587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5879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производителя. </w:t>
      </w:r>
    </w:p>
    <w:p w:rsidR="00191FDC" w:rsidRPr="00A31CFD" w:rsidRDefault="00A31CFD" w:rsidP="00A31C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A3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13  Закона о размещении заказов </w:t>
      </w:r>
      <w:r w:rsidRPr="00A31CFD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осуществляющий нормативное правовое регулирование в сфере размещения заказов, по поручению Прав</w:t>
      </w:r>
      <w:r w:rsidRPr="00A31CFD">
        <w:rPr>
          <w:rFonts w:ascii="Times New Roman" w:hAnsi="Times New Roman" w:cs="Times New Roman"/>
          <w:sz w:val="28"/>
          <w:szCs w:val="28"/>
        </w:rPr>
        <w:t>и</w:t>
      </w:r>
      <w:r w:rsidRPr="00A31CFD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устанавливает </w:t>
      </w:r>
      <w:hyperlink r:id="rId11" w:history="1">
        <w:r w:rsidRPr="00A31CFD">
          <w:rPr>
            <w:rFonts w:ascii="Times New Roman" w:hAnsi="Times New Roman" w:cs="Times New Roman"/>
            <w:color w:val="0000FF"/>
            <w:sz w:val="28"/>
            <w:szCs w:val="28"/>
          </w:rPr>
          <w:t>условия</w:t>
        </w:r>
      </w:hyperlink>
      <w:r w:rsidRPr="00A31CFD">
        <w:rPr>
          <w:rFonts w:ascii="Times New Roman" w:hAnsi="Times New Roman" w:cs="Times New Roman"/>
          <w:sz w:val="28"/>
          <w:szCs w:val="28"/>
        </w:rPr>
        <w:t xml:space="preserve"> допуска товаров, происходящих из иностранного государства или группы иностранных гос</w:t>
      </w:r>
      <w:r w:rsidRPr="00A31CFD">
        <w:rPr>
          <w:rFonts w:ascii="Times New Roman" w:hAnsi="Times New Roman" w:cs="Times New Roman"/>
          <w:sz w:val="28"/>
          <w:szCs w:val="28"/>
        </w:rPr>
        <w:t>у</w:t>
      </w:r>
      <w:r w:rsidRPr="00A31CFD">
        <w:rPr>
          <w:rFonts w:ascii="Times New Roman" w:hAnsi="Times New Roman" w:cs="Times New Roman"/>
          <w:sz w:val="28"/>
          <w:szCs w:val="28"/>
        </w:rPr>
        <w:t>дарств, работ, услуг, выполняемых, оказываемых иностранными лицами, для целей размещения заказов на поставки товаров, в</w:t>
      </w:r>
      <w:r w:rsidRPr="00A31CFD">
        <w:rPr>
          <w:rFonts w:ascii="Times New Roman" w:hAnsi="Times New Roman" w:cs="Times New Roman"/>
          <w:sz w:val="28"/>
          <w:szCs w:val="28"/>
        </w:rPr>
        <w:t>ы</w:t>
      </w:r>
      <w:r w:rsidRPr="00A31CFD">
        <w:rPr>
          <w:rFonts w:ascii="Times New Roman" w:hAnsi="Times New Roman" w:cs="Times New Roman"/>
          <w:sz w:val="28"/>
          <w:szCs w:val="28"/>
        </w:rPr>
        <w:t>полнение работ, оказание услуг для нужд заказчиков</w:t>
      </w:r>
      <w:proofErr w:type="gramEnd"/>
      <w:r w:rsidRPr="00A31CFD">
        <w:rPr>
          <w:rFonts w:ascii="Times New Roman" w:hAnsi="Times New Roman" w:cs="Times New Roman"/>
          <w:sz w:val="28"/>
          <w:szCs w:val="28"/>
        </w:rPr>
        <w:t xml:space="preserve"> в</w:t>
      </w:r>
      <w:r w:rsidRPr="00A3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статьей </w:t>
      </w:r>
      <w:r w:rsidRPr="00A3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</w:t>
      </w:r>
      <w:r w:rsidRPr="00A3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1CF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C47" w:rsidRPr="00B64BBA" w:rsidRDefault="00A31CFD" w:rsidP="00B64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BC0C47" w:rsidRPr="00B64BBA">
        <w:rPr>
          <w:rFonts w:ascii="Times New Roman" w:hAnsi="Times New Roman" w:cs="Times New Roman"/>
          <w:sz w:val="28"/>
          <w:szCs w:val="28"/>
        </w:rPr>
        <w:t xml:space="preserve">  об указании страны происхождения товара установлены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C0C47" w:rsidRPr="00B64BBA">
        <w:rPr>
          <w:rFonts w:ascii="Times New Roman" w:hAnsi="Times New Roman" w:cs="Times New Roman"/>
          <w:sz w:val="28"/>
          <w:szCs w:val="28"/>
        </w:rPr>
        <w:t>ч.7 приказа Минэкономразвит</w:t>
      </w:r>
      <w:r w:rsidR="002225EA">
        <w:rPr>
          <w:rFonts w:ascii="Times New Roman" w:hAnsi="Times New Roman" w:cs="Times New Roman"/>
          <w:sz w:val="28"/>
          <w:szCs w:val="28"/>
        </w:rPr>
        <w:t>и</w:t>
      </w:r>
      <w:r w:rsidR="00BC0C47" w:rsidRPr="00B64BBA">
        <w:rPr>
          <w:rFonts w:ascii="Times New Roman" w:hAnsi="Times New Roman" w:cs="Times New Roman"/>
          <w:sz w:val="28"/>
          <w:szCs w:val="28"/>
        </w:rPr>
        <w:t xml:space="preserve">я </w:t>
      </w:r>
      <w:r w:rsidR="002333C3">
        <w:rPr>
          <w:rFonts w:ascii="Times New Roman" w:hAnsi="Times New Roman" w:cs="Times New Roman"/>
          <w:sz w:val="28"/>
          <w:szCs w:val="28"/>
        </w:rPr>
        <w:t xml:space="preserve"> </w:t>
      </w:r>
      <w:r w:rsidR="00BC0C47" w:rsidRPr="00B64BBA">
        <w:rPr>
          <w:rFonts w:ascii="Times New Roman" w:hAnsi="Times New Roman" w:cs="Times New Roman"/>
          <w:sz w:val="28"/>
          <w:szCs w:val="28"/>
        </w:rPr>
        <w:t>РФ  № 120 от 12.03.2012, согласно которой участнику аукциона необходимо  указывать  (декларир</w:t>
      </w:r>
      <w:r w:rsidR="00BC0C47" w:rsidRPr="00B64BBA">
        <w:rPr>
          <w:rFonts w:ascii="Times New Roman" w:hAnsi="Times New Roman" w:cs="Times New Roman"/>
          <w:sz w:val="28"/>
          <w:szCs w:val="28"/>
        </w:rPr>
        <w:t>о</w:t>
      </w:r>
      <w:r w:rsidR="00BC0C47" w:rsidRPr="00B64BBA">
        <w:rPr>
          <w:rFonts w:ascii="Times New Roman" w:hAnsi="Times New Roman" w:cs="Times New Roman"/>
          <w:sz w:val="28"/>
          <w:szCs w:val="28"/>
        </w:rPr>
        <w:t>вать) в заявке на участие в  аукционе стран</w:t>
      </w:r>
      <w:r w:rsidR="00F06EB0" w:rsidRPr="00B64BBA">
        <w:rPr>
          <w:rFonts w:ascii="Times New Roman" w:hAnsi="Times New Roman" w:cs="Times New Roman"/>
          <w:sz w:val="28"/>
          <w:szCs w:val="28"/>
        </w:rPr>
        <w:t>у</w:t>
      </w:r>
      <w:r w:rsidR="00BC0C47" w:rsidRPr="00B64BBA">
        <w:rPr>
          <w:rFonts w:ascii="Times New Roman" w:hAnsi="Times New Roman" w:cs="Times New Roman"/>
          <w:sz w:val="28"/>
          <w:szCs w:val="28"/>
        </w:rPr>
        <w:t xml:space="preserve"> происхождения п</w:t>
      </w:r>
      <w:r w:rsidR="00BC0C47" w:rsidRPr="00B64BBA">
        <w:rPr>
          <w:rFonts w:ascii="Times New Roman" w:hAnsi="Times New Roman" w:cs="Times New Roman"/>
          <w:sz w:val="28"/>
          <w:szCs w:val="28"/>
        </w:rPr>
        <w:t>о</w:t>
      </w:r>
      <w:r w:rsidR="00BC0C47" w:rsidRPr="00B64BBA">
        <w:rPr>
          <w:rFonts w:ascii="Times New Roman" w:hAnsi="Times New Roman" w:cs="Times New Roman"/>
          <w:sz w:val="28"/>
          <w:szCs w:val="28"/>
        </w:rPr>
        <w:t>ставляемого товара;</w:t>
      </w:r>
    </w:p>
    <w:p w:rsidR="00415879" w:rsidRPr="00B64BBA" w:rsidRDefault="00415879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карты аукциона «Инструкция по з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полнению заявки  на участие в аукционе» 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установлено требов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ние: Во всех случаях участнику  размещения заказа при подготовке своей первой части заявки  на участие в настоящем аукционе необходимо, в обяз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тельном порядке 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указать страну происхождения товара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(каждого оборудов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 позициям Таблицы поставки), 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предлагаемого к поставке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настоящего аукциона. В 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случае не указания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части заявки на участие в аукционе страны происхождения товара (оборудования), такая 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заявка</w:t>
      </w:r>
      <w:r w:rsidR="00BC0C47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EB0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F06EB0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6EB0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п.7 приказа №120 </w:t>
      </w:r>
      <w:r w:rsidR="00F06EB0" w:rsidRPr="00B64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будет допущена  к участию в настоящем аукционе.</w:t>
      </w:r>
    </w:p>
    <w:p w:rsidR="00151DD6" w:rsidRDefault="00151DD6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CE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участник под №1 (ЗАО «Амтел-Сервис»)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59CE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указав страны происхождения  товаров по пунктам  4, 9, 13, 17, 21, 26, 37, 41, 46, 70, 75  Спецификации поставляемого обору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 не выполнил требования</w:t>
      </w:r>
      <w:r w:rsidR="006E59CE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аукционной документации,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чего, по данному основанию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  правомерно отказано в допуске к участию в аукционе. </w:t>
      </w:r>
    </w:p>
    <w:p w:rsidR="00191FDC" w:rsidRPr="00B64BBA" w:rsidRDefault="00EC5DB6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Pr="00B64BBA">
        <w:rPr>
          <w:rFonts w:ascii="Times New Roman" w:hAnsi="Times New Roman" w:cs="Times New Roman"/>
          <w:sz w:val="28"/>
          <w:szCs w:val="28"/>
        </w:rPr>
        <w:t>заявление ЗАО  «Амтел-Сервис» по указанному осн</w:t>
      </w:r>
      <w:r w:rsidRPr="00B64BBA">
        <w:rPr>
          <w:rFonts w:ascii="Times New Roman" w:hAnsi="Times New Roman" w:cs="Times New Roman"/>
          <w:sz w:val="28"/>
          <w:szCs w:val="28"/>
        </w:rPr>
        <w:t>о</w:t>
      </w:r>
      <w:r w:rsidRPr="00B64BBA">
        <w:rPr>
          <w:rFonts w:ascii="Times New Roman" w:hAnsi="Times New Roman" w:cs="Times New Roman"/>
          <w:sz w:val="28"/>
          <w:szCs w:val="28"/>
        </w:rPr>
        <w:t xml:space="preserve">ванию  является не обоснованным.  </w:t>
      </w:r>
    </w:p>
    <w:p w:rsidR="00DC4611" w:rsidRPr="00B64BBA" w:rsidRDefault="002333C3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320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F320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Чувашского УФАС России 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ч.5 статьи 17 Закона о размещении заказов проведена </w:t>
      </w:r>
      <w:r w:rsidR="00BF320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F320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 результ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которой </w:t>
      </w:r>
      <w:r w:rsidR="00BF320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</w:t>
      </w:r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следующее.</w:t>
      </w:r>
    </w:p>
    <w:p w:rsidR="00DC4611" w:rsidRPr="00B64BBA" w:rsidRDefault="002333C3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№64/2  подведения итогов аукциона в электро</w:t>
      </w:r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от 03 октября 2012 г. заявка участника №2  ООО «НПЦ «Сист</w:t>
      </w:r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4611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ма» признана соответствующей требованиям аукционной документации.</w:t>
      </w:r>
    </w:p>
    <w:p w:rsidR="002D5628" w:rsidRDefault="002D5628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D194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задания  заказчик</w:t>
      </w:r>
      <w:r w:rsidR="004D1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4D194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="004D1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овары, н</w:t>
      </w:r>
      <w:r w:rsidR="004D19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19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обходимые для  поставки по контракту в составе коммуникационного обор</w:t>
      </w:r>
      <w:r w:rsidR="004D19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19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 комплект устройств защиты от перенапряжений, с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условиям (требованиям), установленным в пункте 12 настоящего Те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нического зад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BF320C" w:rsidRPr="00B64BBA" w:rsidRDefault="001F2FA6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243DF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 «Требования к поставляемым «устройствам защиты от перенапряжений»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задания</w:t>
      </w:r>
      <w:r w:rsidR="00243DF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заказчик установил следующие требования к характеристикам  оборудования и материалов, входящих в ко</w:t>
      </w:r>
      <w:r w:rsidR="00243DF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3DFD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плект устройств защиты от перенапряжений:</w:t>
      </w:r>
    </w:p>
    <w:p w:rsidR="00037530" w:rsidRPr="00B64BBA" w:rsidRDefault="00243DFD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12.3.1.Плинт размыкаемый «</w:t>
      </w:r>
      <w:r w:rsidR="00AA7968"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MFX</w:t>
      </w:r>
      <w:r w:rsidR="00AA7968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AA7968"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</w:t>
      </w:r>
      <w:r w:rsidR="00AA7968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-11-00 (0-9)» или «эквивалент) должен соответствовать следующим </w:t>
      </w:r>
      <w:r w:rsidR="00037530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 (показателям, пар</w:t>
      </w:r>
      <w:r w:rsidR="00037530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530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метрам):</w:t>
      </w:r>
      <w:proofErr w:type="gramEnd"/>
    </w:p>
    <w:p w:rsidR="00037530" w:rsidRPr="00B64BBA" w:rsidRDefault="00037530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пар не менее 10; Категория не ниже 3; Полоса пропуск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не ниже 16 </w:t>
      </w:r>
      <w:proofErr w:type="spell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Мгц</w:t>
      </w:r>
      <w:proofErr w:type="spell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530" w:rsidRPr="00B64BBA" w:rsidRDefault="00037530" w:rsidP="0023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допустимый диаметр разделываемой жилы: не менее </w:t>
      </w:r>
      <w:smartTag w:uri="urn:schemas-microsoft-com:office:smarttags" w:element="metricconverter">
        <w:smartTagPr>
          <w:attr w:name="ProductID" w:val="0,511 мм"/>
        </w:smartTagPr>
        <w:r w:rsidRPr="00B64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0,511 мм</w:t>
        </w:r>
      </w:smartTag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 </w:t>
      </w: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WG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 более </w:t>
      </w:r>
      <w:smartTag w:uri="urn:schemas-microsoft-com:office:smarttags" w:element="metricconverter">
        <w:smartTagPr>
          <w:attr w:name="ProductID" w:val="0,404 мм"/>
        </w:smartTagPr>
        <w:r w:rsidRPr="00B64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0,404 мм</w:t>
        </w:r>
      </w:smartTag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 А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WG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7530" w:rsidRPr="00B64BBA" w:rsidRDefault="00037530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IDC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контактов — </w:t>
      </w:r>
      <w:proofErr w:type="spell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Кго</w:t>
      </w:r>
      <w:proofErr w:type="spellEnd"/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037530" w:rsidRPr="00B64BBA" w:rsidRDefault="00037530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покрытия I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контактов - бронза с серебряным напылением</w:t>
      </w: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корпусе должна быть маркировка пар: 0, 1, 2, 3, 4, 5, 6, 7, 8, 9, Материал пластика  «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»94-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0» (или эквивалент);</w:t>
      </w:r>
    </w:p>
    <w:p w:rsidR="00037530" w:rsidRPr="00B64BBA" w:rsidRDefault="00037530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иметь форм-фактор для установки на </w:t>
      </w: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несущую</w:t>
      </w:r>
      <w:proofErr w:type="gram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характер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стиками, описанными в п.10.3.4;</w:t>
      </w:r>
    </w:p>
    <w:p w:rsidR="00037530" w:rsidRPr="00B64BBA" w:rsidRDefault="00037530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12.3.2. Магазин защиты от перенапряжений «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MFX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-12-000 (или «эквивалент»)</w:t>
      </w:r>
      <w:r w:rsidR="0023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следующим характеристикам (пок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зателям, параметрам):</w:t>
      </w:r>
    </w:p>
    <w:p w:rsidR="00037530" w:rsidRPr="00B64BBA" w:rsidRDefault="00037530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пар - не менее 10; Материал пластика «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FDC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(или «э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вивалент»);</w:t>
      </w:r>
    </w:p>
    <w:p w:rsidR="00037530" w:rsidRPr="00B64BBA" w:rsidRDefault="00037530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иметь форм-фактор для установки на размыкаемые 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линты, с характеристиками, описанными в п.10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</w:p>
    <w:p w:rsidR="00037530" w:rsidRPr="00B64BBA" w:rsidRDefault="00037530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Размеры: не более 23х1 12,5х42 мм;</w:t>
      </w:r>
    </w:p>
    <w:p w:rsidR="00037530" w:rsidRPr="00B64BBA" w:rsidRDefault="00037530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12.3.3. Разряд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«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MFX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-13» (или эквивалент»)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следующим характеристикам (показателям, параметрам):</w:t>
      </w:r>
    </w:p>
    <w:p w:rsidR="00165BB2" w:rsidRPr="00B64BBA" w:rsidRDefault="00165BB2" w:rsidP="0023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напряжения срабатывания: не менее 190</w:t>
      </w: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260 В;</w:t>
      </w:r>
    </w:p>
    <w:p w:rsidR="00165BB2" w:rsidRPr="00B64BBA" w:rsidRDefault="00165BB2" w:rsidP="0023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ток, не более 5А;</w:t>
      </w:r>
    </w:p>
    <w:p w:rsidR="00165BB2" w:rsidRPr="00B64BBA" w:rsidRDefault="00165BB2" w:rsidP="0023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должен быть заполнен инертным тазом:</w:t>
      </w:r>
    </w:p>
    <w:p w:rsidR="00165BB2" w:rsidRPr="00B64BBA" w:rsidRDefault="00165BB2" w:rsidP="0023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Исполнение - керамика с металлическими контактами;</w:t>
      </w:r>
    </w:p>
    <w:p w:rsidR="00165BB2" w:rsidRPr="00B64BBA" w:rsidRDefault="00165BB2" w:rsidP="0023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должен иметь форм-фактор для установки в магазин защиты, с характер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стиками, описанными в п.10.3.2:</w:t>
      </w:r>
    </w:p>
    <w:p w:rsidR="00165BB2" w:rsidRPr="00B64BBA" w:rsidRDefault="00165BB2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1 1.3.4. Несущая Н-19-1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«эквивалент») должна соответствовать следующим характеристикам (показателям, параметрам):</w:t>
      </w:r>
    </w:p>
    <w:p w:rsidR="00165BB2" w:rsidRPr="00B64BBA" w:rsidRDefault="00165BB2" w:rsidP="0023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должна иметь размер 1</w:t>
      </w:r>
      <w:r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установки в </w:t>
      </w:r>
      <w:smartTag w:uri="urn:schemas-microsoft-com:office:smarttags" w:element="metricconverter">
        <w:smartTagPr>
          <w:attr w:name="ProductID" w:val="19”"/>
        </w:smartTagPr>
        <w:r w:rsidRPr="00B64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19”</w:t>
        </w:r>
      </w:smartTag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телекоммуникационный шкаф:</w:t>
      </w:r>
    </w:p>
    <w:p w:rsidR="00165BB2" w:rsidRPr="00B64BBA" w:rsidRDefault="00165BB2" w:rsidP="0023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 - листовая сталь;</w:t>
      </w:r>
    </w:p>
    <w:p w:rsidR="00165BB2" w:rsidRPr="00B64BBA" w:rsidRDefault="00165BB2" w:rsidP="0023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должна иметь посадочные места для установки не менее </w:t>
      </w:r>
      <w:proofErr w:type="gram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(трех) плинтов с характеристиками, описанными в 10.3.1</w:t>
      </w:r>
    </w:p>
    <w:p w:rsidR="00FF4686" w:rsidRDefault="00FF4686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№2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«НПЦ «Система»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заявке дал согласие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товар с  определенным заказчиком товарным знаком.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 не учел  необходимости  представить товар не имеющий товарного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но с определенными заказчиком характеристиками.  Данные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 участником №2 в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явке не указаны.  </w:t>
      </w:r>
    </w:p>
    <w:p w:rsidR="00365B02" w:rsidRPr="002333C3" w:rsidRDefault="00FF4686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№2 ООО «НПЦ «Система» в  таблице поставки оборудов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по 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позициям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2.16, 3.12, 4.12, 5.12, 6.12,  7.11, 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 Устро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защиты от перенапряжений в комплекте с плинтами  размыка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мыми (10 пар 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LSA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Plus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(нормально замкнутые) от 0..9 тип 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Krone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магазинами защиты от п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ренапряжений на 10 пар для 3-х полюсных разрядников, 3- полюсными ра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рядниками, несущей 1</w:t>
      </w:r>
      <w:r w:rsidR="00365B02" w:rsidRPr="00B64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233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5BB2" w:rsidRPr="00B64BBA" w:rsidRDefault="00365B02" w:rsidP="00233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участник № 2  ООО «НПЦ «Система» не указал все технические характеристики поставляемого  им товара</w:t>
      </w:r>
      <w:r w:rsidR="00165BB2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 требованиями аукционной документации.</w:t>
      </w:r>
    </w:p>
    <w:p w:rsidR="00365B02" w:rsidRPr="00B64BBA" w:rsidRDefault="00365B02" w:rsidP="00065D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BBA">
        <w:rPr>
          <w:rFonts w:ascii="Times New Roman" w:hAnsi="Times New Roman" w:cs="Times New Roman"/>
          <w:sz w:val="28"/>
          <w:szCs w:val="28"/>
        </w:rPr>
        <w:t>В силу п.4 части 1 статьи 12 Закона о размещении заказов при рассмо</w:t>
      </w:r>
      <w:r w:rsidRPr="00B64BBA">
        <w:rPr>
          <w:rFonts w:ascii="Times New Roman" w:hAnsi="Times New Roman" w:cs="Times New Roman"/>
          <w:sz w:val="28"/>
          <w:szCs w:val="28"/>
        </w:rPr>
        <w:t>т</w:t>
      </w:r>
      <w:r w:rsidRPr="00B64BBA">
        <w:rPr>
          <w:rFonts w:ascii="Times New Roman" w:hAnsi="Times New Roman" w:cs="Times New Roman"/>
          <w:sz w:val="28"/>
          <w:szCs w:val="28"/>
        </w:rPr>
        <w:t>рении заявок на участие в конкурсе или заявок на участие в аукционе учас</w:t>
      </w:r>
      <w:r w:rsidRPr="00B64BBA">
        <w:rPr>
          <w:rFonts w:ascii="Times New Roman" w:hAnsi="Times New Roman" w:cs="Times New Roman"/>
          <w:sz w:val="28"/>
          <w:szCs w:val="28"/>
        </w:rPr>
        <w:t>т</w:t>
      </w:r>
      <w:r w:rsidRPr="00B64BBA">
        <w:rPr>
          <w:rFonts w:ascii="Times New Roman" w:hAnsi="Times New Roman" w:cs="Times New Roman"/>
          <w:sz w:val="28"/>
          <w:szCs w:val="28"/>
        </w:rPr>
        <w:t>ник размещения заказа не допускается конкурсной или аукционной комисс</w:t>
      </w:r>
      <w:r w:rsidRPr="00B64BBA">
        <w:rPr>
          <w:rFonts w:ascii="Times New Roman" w:hAnsi="Times New Roman" w:cs="Times New Roman"/>
          <w:sz w:val="28"/>
          <w:szCs w:val="28"/>
        </w:rPr>
        <w:t>и</w:t>
      </w:r>
      <w:r w:rsidRPr="00B64BBA">
        <w:rPr>
          <w:rFonts w:ascii="Times New Roman" w:hAnsi="Times New Roman" w:cs="Times New Roman"/>
          <w:sz w:val="28"/>
          <w:szCs w:val="28"/>
        </w:rPr>
        <w:t>ей к участию в конкурсе или аукционе в случае  несоответствия заявки на участие в аукционе требованиям   документации об аукционе.</w:t>
      </w:r>
      <w:proofErr w:type="gramEnd"/>
    </w:p>
    <w:p w:rsidR="00065D22" w:rsidRPr="00B64BBA" w:rsidRDefault="00065D22" w:rsidP="00065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4B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64BBA">
        <w:rPr>
          <w:rFonts w:ascii="Times New Roman" w:hAnsi="Times New Roman" w:cs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п.2 </w:t>
      </w:r>
      <w:r w:rsidRPr="00B64BBA">
        <w:rPr>
          <w:rFonts w:ascii="Times New Roman" w:hAnsi="Times New Roman" w:cs="Times New Roman"/>
          <w:sz w:val="28"/>
          <w:szCs w:val="28"/>
        </w:rPr>
        <w:t xml:space="preserve">ч.4. статьи 41.9 </w:t>
      </w:r>
      <w:r w:rsidR="00897D5A">
        <w:rPr>
          <w:rFonts w:ascii="Times New Roman" w:hAnsi="Times New Roman" w:cs="Times New Roman"/>
          <w:sz w:val="28"/>
          <w:szCs w:val="28"/>
        </w:rPr>
        <w:t xml:space="preserve">Закона о размещении заказов </w:t>
      </w:r>
      <w:r w:rsidRPr="00B64BBA">
        <w:rPr>
          <w:rFonts w:ascii="Times New Roman" w:hAnsi="Times New Roman" w:cs="Times New Roman"/>
          <w:sz w:val="28"/>
          <w:szCs w:val="28"/>
        </w:rPr>
        <w:t>участник размещения заказа не допускается к участию в открытом аукционе в электронной форме в случае  непредставления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BBA">
        <w:rPr>
          <w:rFonts w:ascii="Times New Roman" w:hAnsi="Times New Roman" w:cs="Times New Roman"/>
          <w:sz w:val="28"/>
          <w:szCs w:val="28"/>
        </w:rPr>
        <w:t xml:space="preserve"> сведений, предусмотренных </w:t>
      </w:r>
      <w:hyperlink r:id="rId12" w:history="1">
        <w:r w:rsidRPr="00B64BB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41.8</w:t>
        </w:r>
      </w:hyperlink>
      <w:r w:rsidRPr="00B64BB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или предос</w:t>
      </w:r>
      <w:r>
        <w:rPr>
          <w:rFonts w:ascii="Times New Roman" w:hAnsi="Times New Roman" w:cs="Times New Roman"/>
          <w:sz w:val="28"/>
          <w:szCs w:val="28"/>
        </w:rPr>
        <w:t>тавления недостоверных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065D22" w:rsidRDefault="00FA5BAA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Комиссия Чувашского УФАС России приходит к в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 что аукционной комиссией</w:t>
      </w:r>
      <w:r w:rsidR="00065D22" w:rsidRPr="00065D22">
        <w:rPr>
          <w:rFonts w:ascii="Times New Roman" w:hAnsi="Times New Roman" w:cs="Times New Roman"/>
          <w:sz w:val="28"/>
          <w:szCs w:val="28"/>
        </w:rPr>
        <w:t xml:space="preserve"> </w:t>
      </w:r>
      <w:r w:rsidR="00065D22" w:rsidRPr="00B64BBA">
        <w:rPr>
          <w:rFonts w:ascii="Times New Roman" w:hAnsi="Times New Roman" w:cs="Times New Roman"/>
          <w:sz w:val="28"/>
          <w:szCs w:val="28"/>
        </w:rPr>
        <w:t>отделения  Пенсионного фонда Российской Федерации (государственное учреждение) по Чувашской Республике-Чувашии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22" w:rsidRPr="00B64BBA">
        <w:rPr>
          <w:rFonts w:ascii="Times New Roman" w:hAnsi="Times New Roman" w:cs="Times New Roman"/>
          <w:sz w:val="28"/>
          <w:szCs w:val="28"/>
        </w:rPr>
        <w:t xml:space="preserve"> </w:t>
      </w:r>
      <w:r w:rsidR="00065D22">
        <w:rPr>
          <w:rFonts w:ascii="Times New Roman" w:hAnsi="Times New Roman" w:cs="Times New Roman"/>
          <w:sz w:val="28"/>
          <w:szCs w:val="28"/>
        </w:rPr>
        <w:t>участник №2 (ООО  НПЦ «Система»)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допущен к участию в данном аукционе в электронной форме.</w:t>
      </w:r>
      <w:r w:rsidR="0006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20C" w:rsidRPr="00B64BBA" w:rsidRDefault="00BF320C" w:rsidP="0023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Комиссия Управления Федеральной  ант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монопольной службы по Чувашской Республике - Чувашии по контролю в сфере размещения заказов на основании части 5 статьи 17,   части 6 статьи 60  Федерального закона от 21 июля 2005 №94-ФЗ «О размещении заказов на п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товаров, выполнение работ, оказание  услуг для государственных и муниципальных нужд»        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20C" w:rsidRPr="00B64BBA" w:rsidRDefault="00BF320C" w:rsidP="00B6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F320C" w:rsidRPr="00B64BBA" w:rsidRDefault="00BF320C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0C" w:rsidRPr="00B64BBA" w:rsidRDefault="00BF320C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Признать жалобу </w:t>
      </w:r>
      <w:r w:rsidR="00B64BBA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«Амтел-Сервис» частично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обоснованной.</w:t>
      </w:r>
    </w:p>
    <w:p w:rsidR="00B64BBA" w:rsidRPr="00B64BBA" w:rsidRDefault="00B64BBA" w:rsidP="00B64BB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20C" w:rsidRPr="00B64BBA">
        <w:rPr>
          <w:rFonts w:ascii="Times New Roman" w:hAnsi="Times New Roman" w:cs="Times New Roman"/>
          <w:sz w:val="28"/>
          <w:szCs w:val="28"/>
        </w:rPr>
        <w:t xml:space="preserve">2.Признать  в действиях   </w:t>
      </w:r>
      <w:r w:rsidR="00E01CF2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B64BBA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r w:rsidRPr="00B64BBA">
        <w:rPr>
          <w:rFonts w:ascii="Times New Roman" w:hAnsi="Times New Roman" w:cs="Times New Roman"/>
          <w:sz w:val="28"/>
          <w:szCs w:val="28"/>
        </w:rPr>
        <w:t>отделения  Пенсио</w:t>
      </w:r>
      <w:r w:rsidRPr="00B64BBA">
        <w:rPr>
          <w:rFonts w:ascii="Times New Roman" w:hAnsi="Times New Roman" w:cs="Times New Roman"/>
          <w:sz w:val="28"/>
          <w:szCs w:val="28"/>
        </w:rPr>
        <w:t>н</w:t>
      </w:r>
      <w:r w:rsidRPr="00B64BBA">
        <w:rPr>
          <w:rFonts w:ascii="Times New Roman" w:hAnsi="Times New Roman" w:cs="Times New Roman"/>
          <w:sz w:val="28"/>
          <w:szCs w:val="28"/>
        </w:rPr>
        <w:t>ного фонда Российской Федерации (государственное учреждение) по Чува</w:t>
      </w:r>
      <w:r w:rsidRPr="00B64BBA">
        <w:rPr>
          <w:rFonts w:ascii="Times New Roman" w:hAnsi="Times New Roman" w:cs="Times New Roman"/>
          <w:sz w:val="28"/>
          <w:szCs w:val="28"/>
        </w:rPr>
        <w:t>ш</w:t>
      </w:r>
      <w:r w:rsidRPr="00B64BBA">
        <w:rPr>
          <w:rFonts w:ascii="Times New Roman" w:hAnsi="Times New Roman" w:cs="Times New Roman"/>
          <w:sz w:val="28"/>
          <w:szCs w:val="28"/>
        </w:rPr>
        <w:t>ской Республике-Чувашии</w:t>
      </w:r>
      <w:r w:rsidR="00BF320C" w:rsidRPr="00B64BBA">
        <w:rPr>
          <w:rFonts w:ascii="Times New Roman" w:hAnsi="Times New Roman" w:cs="Times New Roman"/>
          <w:sz w:val="28"/>
          <w:szCs w:val="28"/>
        </w:rPr>
        <w:t xml:space="preserve">  нарушение пункта </w:t>
      </w:r>
      <w:r w:rsidRPr="00B64BBA">
        <w:rPr>
          <w:rFonts w:ascii="Times New Roman" w:hAnsi="Times New Roman" w:cs="Times New Roman"/>
          <w:sz w:val="28"/>
          <w:szCs w:val="28"/>
        </w:rPr>
        <w:t>2</w:t>
      </w:r>
      <w:r w:rsidR="00BF320C" w:rsidRPr="00B64BBA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B64BBA">
        <w:rPr>
          <w:rFonts w:ascii="Times New Roman" w:hAnsi="Times New Roman" w:cs="Times New Roman"/>
          <w:sz w:val="28"/>
          <w:szCs w:val="28"/>
        </w:rPr>
        <w:t>4</w:t>
      </w:r>
      <w:r w:rsidR="00BF320C" w:rsidRPr="00B64BBA">
        <w:rPr>
          <w:rFonts w:ascii="Times New Roman" w:hAnsi="Times New Roman" w:cs="Times New Roman"/>
          <w:sz w:val="28"/>
          <w:szCs w:val="28"/>
        </w:rPr>
        <w:t xml:space="preserve"> статьи 41.</w:t>
      </w:r>
      <w:r w:rsidRPr="00B64BBA">
        <w:rPr>
          <w:rFonts w:ascii="Times New Roman" w:hAnsi="Times New Roman" w:cs="Times New Roman"/>
          <w:sz w:val="28"/>
          <w:szCs w:val="28"/>
        </w:rPr>
        <w:t>9 и п.4 ч.1 ст.12</w:t>
      </w:r>
      <w:r w:rsidR="00BF320C" w:rsidRPr="00B64BBA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№94-ФЗ «О размещении заказов на поставки товаров, выполнение работ, оказание  услуг для государстве</w:t>
      </w:r>
      <w:r w:rsidR="00BF320C" w:rsidRPr="00B64BBA">
        <w:rPr>
          <w:rFonts w:ascii="Times New Roman" w:hAnsi="Times New Roman" w:cs="Times New Roman"/>
          <w:sz w:val="28"/>
          <w:szCs w:val="28"/>
        </w:rPr>
        <w:t>н</w:t>
      </w:r>
      <w:r w:rsidR="00BF320C" w:rsidRPr="00B64BBA">
        <w:rPr>
          <w:rFonts w:ascii="Times New Roman" w:hAnsi="Times New Roman" w:cs="Times New Roman"/>
          <w:sz w:val="28"/>
          <w:szCs w:val="28"/>
        </w:rPr>
        <w:t>ных и муниципальных нужд»</w:t>
      </w:r>
      <w:r w:rsidRPr="00B64BBA">
        <w:rPr>
          <w:rFonts w:ascii="Times New Roman" w:hAnsi="Times New Roman" w:cs="Times New Roman"/>
          <w:sz w:val="28"/>
          <w:szCs w:val="28"/>
        </w:rPr>
        <w:t xml:space="preserve"> при проведении открытого аукциона в эле</w:t>
      </w:r>
      <w:r w:rsidRPr="00B64BBA">
        <w:rPr>
          <w:rFonts w:ascii="Times New Roman" w:hAnsi="Times New Roman" w:cs="Times New Roman"/>
          <w:sz w:val="28"/>
          <w:szCs w:val="28"/>
        </w:rPr>
        <w:t>к</w:t>
      </w:r>
      <w:r w:rsidRPr="00B64BBA">
        <w:rPr>
          <w:rFonts w:ascii="Times New Roman" w:hAnsi="Times New Roman" w:cs="Times New Roman"/>
          <w:sz w:val="28"/>
          <w:szCs w:val="28"/>
        </w:rPr>
        <w:t xml:space="preserve">тронной форме </w:t>
      </w:r>
      <w:r w:rsidR="0027691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F320C" w:rsidRPr="00B64BBA">
        <w:rPr>
          <w:rFonts w:ascii="Times New Roman" w:hAnsi="Times New Roman" w:cs="Times New Roman"/>
          <w:sz w:val="28"/>
          <w:szCs w:val="28"/>
        </w:rPr>
        <w:t xml:space="preserve"> </w:t>
      </w:r>
      <w:r w:rsidRPr="00B64BBA">
        <w:rPr>
          <w:rFonts w:ascii="Times New Roman" w:hAnsi="Times New Roman" w:cs="Times New Roman"/>
          <w:sz w:val="28"/>
          <w:szCs w:val="28"/>
        </w:rPr>
        <w:t>право заключения  государственного  контракта на п</w:t>
      </w:r>
      <w:r w:rsidRPr="00B64BBA">
        <w:rPr>
          <w:rFonts w:ascii="Times New Roman" w:hAnsi="Times New Roman" w:cs="Times New Roman"/>
          <w:sz w:val="28"/>
          <w:szCs w:val="28"/>
        </w:rPr>
        <w:t>о</w:t>
      </w:r>
      <w:r w:rsidRPr="00B64BBA">
        <w:rPr>
          <w:rFonts w:ascii="Times New Roman" w:hAnsi="Times New Roman" w:cs="Times New Roman"/>
          <w:sz w:val="28"/>
          <w:szCs w:val="28"/>
        </w:rPr>
        <w:t>ставку телекоммуникационного оборудования с начальной (максимальной) ценой контракта  6316000 рублей (извещение №0215100000412000062).</w:t>
      </w:r>
    </w:p>
    <w:p w:rsidR="00BF320C" w:rsidRPr="00B64BBA" w:rsidRDefault="00BF320C" w:rsidP="00B6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B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4BBA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64BBA" w:rsidRPr="00B64BBA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B64BBA">
        <w:rPr>
          <w:rFonts w:ascii="Times New Roman" w:hAnsi="Times New Roman" w:cs="Times New Roman"/>
          <w:sz w:val="28"/>
          <w:szCs w:val="28"/>
        </w:rPr>
        <w:t xml:space="preserve"> </w:t>
      </w:r>
      <w:r w:rsidR="00B64BBA" w:rsidRPr="00B64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="00B64BBA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 Пенсионного фонда Ро</w:t>
      </w:r>
      <w:r w:rsidR="00B64BBA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4BBA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(государственное учреждение) по Чувашской Республ</w:t>
      </w:r>
      <w:r w:rsidR="00B64BBA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4BBA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ке-Чувашии </w:t>
      </w:r>
      <w:r w:rsidRPr="00B64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BBA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нарушения  </w:t>
      </w:r>
      <w:r w:rsidR="00B64BBA" w:rsidRPr="00B64BBA">
        <w:rPr>
          <w:rFonts w:ascii="Times New Roman" w:hAnsi="Times New Roman" w:cs="Times New Roman"/>
          <w:sz w:val="28"/>
          <w:szCs w:val="28"/>
        </w:rPr>
        <w:t xml:space="preserve">пункта 2 части 4 статьи 41.9 и п.4 ч.1 статьи 12 </w:t>
      </w:r>
      <w:r w:rsidRPr="00B64BBA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№ 94-ФЗ «О размещении заказов на поставки товаров, выполнение работ, оказание  услуг для государственных и муниципальных услуг» </w:t>
      </w:r>
      <w:r w:rsidR="002C3B8A">
        <w:rPr>
          <w:rFonts w:ascii="Times New Roman" w:hAnsi="Times New Roman" w:cs="Times New Roman"/>
          <w:sz w:val="28"/>
          <w:szCs w:val="28"/>
        </w:rPr>
        <w:t>(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 </w:t>
      </w:r>
      <w:r w:rsidR="00B64BBA" w:rsidRPr="00B64BBA">
        <w:rPr>
          <w:rFonts w:ascii="Times New Roman" w:hAnsi="Times New Roman" w:cs="Times New Roman"/>
          <w:sz w:val="28"/>
          <w:szCs w:val="28"/>
        </w:rPr>
        <w:t>0215100000412000062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4BBA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B64BBA" w:rsidRPr="00B64BBA">
        <w:rPr>
          <w:rFonts w:ascii="Times New Roman" w:hAnsi="Times New Roman" w:cs="Times New Roman"/>
          <w:sz w:val="28"/>
          <w:szCs w:val="28"/>
        </w:rPr>
        <w:t>возврата на этап  рассмотрения первых</w:t>
      </w:r>
      <w:proofErr w:type="gramEnd"/>
      <w:r w:rsidR="00B64BBA" w:rsidRPr="00B64BBA">
        <w:rPr>
          <w:rFonts w:ascii="Times New Roman" w:hAnsi="Times New Roman" w:cs="Times New Roman"/>
          <w:sz w:val="28"/>
          <w:szCs w:val="28"/>
        </w:rPr>
        <w:t xml:space="preserve"> частей  аукционных заявок.</w:t>
      </w:r>
    </w:p>
    <w:p w:rsidR="00BF320C" w:rsidRPr="00B64BBA" w:rsidRDefault="00BF320C" w:rsidP="00B64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AA" w:rsidRDefault="00FA5BAA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AA" w:rsidRDefault="00FA5BAA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0C" w:rsidRPr="00B64BBA" w:rsidRDefault="00BF320C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</w:t>
      </w:r>
      <w:r w:rsidR="00FA5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5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64BBA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В.А.Борисов</w:t>
      </w:r>
      <w:proofErr w:type="spell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20C" w:rsidRPr="00B64BBA" w:rsidRDefault="00BF320C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20C" w:rsidRPr="00B64BBA" w:rsidRDefault="00BF320C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FA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20C" w:rsidRPr="00B64BBA" w:rsidRDefault="00BF320C" w:rsidP="00B6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FA5BAA" w:rsidRDefault="00FA5BAA" w:rsidP="00B64BB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F320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Н.А.Давыдова</w:t>
      </w:r>
      <w:proofErr w:type="spellEnd"/>
      <w:r w:rsidR="00BF320C"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A5BAA" w:rsidRDefault="00FA5BAA" w:rsidP="00B64BB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8A" w:rsidRDefault="00BF320C" w:rsidP="00B64BB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BF320C" w:rsidRPr="00B64BBA" w:rsidRDefault="00BF320C" w:rsidP="00B64BBA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F320C" w:rsidRPr="00B64BBA" w:rsidRDefault="002C3B8A" w:rsidP="00B64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</w:t>
      </w:r>
      <w:r w:rsidR="00BF320C" w:rsidRPr="00B64BBA">
        <w:rPr>
          <w:rFonts w:ascii="Times New Roman" w:eastAsia="Times New Roman" w:hAnsi="Times New Roman" w:cs="Times New Roman"/>
          <w:u w:val="single"/>
          <w:lang w:eastAsia="ru-RU"/>
        </w:rPr>
        <w:t>римечание:</w:t>
      </w:r>
      <w:r w:rsidR="00BF320C" w:rsidRPr="00B64BBA">
        <w:rPr>
          <w:rFonts w:ascii="Times New Roman" w:eastAsia="Times New Roman" w:hAnsi="Times New Roman" w:cs="Times New Roman"/>
          <w:lang w:eastAsia="ru-RU"/>
        </w:rPr>
        <w:tab/>
        <w:t>Решение Комиссии Чувашского УФАС России по контролю в сфере разм</w:t>
      </w:r>
      <w:r w:rsidR="00BF320C" w:rsidRPr="00B64BBA">
        <w:rPr>
          <w:rFonts w:ascii="Times New Roman" w:eastAsia="Times New Roman" w:hAnsi="Times New Roman" w:cs="Times New Roman"/>
          <w:lang w:eastAsia="ru-RU"/>
        </w:rPr>
        <w:t>е</w:t>
      </w:r>
      <w:r w:rsidR="00BF320C" w:rsidRPr="00B64BBA">
        <w:rPr>
          <w:rFonts w:ascii="Times New Roman" w:eastAsia="Times New Roman" w:hAnsi="Times New Roman" w:cs="Times New Roman"/>
          <w:lang w:eastAsia="ru-RU"/>
        </w:rPr>
        <w:t>щения заказов может быть обжаловано в судебном порядке в течение трех месяцев со дня его пр</w:t>
      </w:r>
      <w:r w:rsidR="00BF320C" w:rsidRPr="00B64BBA">
        <w:rPr>
          <w:rFonts w:ascii="Times New Roman" w:eastAsia="Times New Roman" w:hAnsi="Times New Roman" w:cs="Times New Roman"/>
          <w:lang w:eastAsia="ru-RU"/>
        </w:rPr>
        <w:t>и</w:t>
      </w:r>
      <w:r w:rsidR="00BF320C" w:rsidRPr="00B64BBA">
        <w:rPr>
          <w:rFonts w:ascii="Times New Roman" w:eastAsia="Times New Roman" w:hAnsi="Times New Roman" w:cs="Times New Roman"/>
          <w:lang w:eastAsia="ru-RU"/>
        </w:rPr>
        <w:t>нятия (часть 9 статьи 60 Закона о размещении заказов).</w:t>
      </w:r>
    </w:p>
    <w:p w:rsidR="00BF320C" w:rsidRPr="00B64BBA" w:rsidRDefault="00BF320C" w:rsidP="00B64BBA">
      <w:pPr>
        <w:spacing w:line="240" w:lineRule="auto"/>
        <w:rPr>
          <w:rFonts w:ascii="Times New Roman" w:hAnsi="Times New Roman" w:cs="Times New Roman"/>
        </w:rPr>
      </w:pPr>
    </w:p>
    <w:p w:rsidR="00BF320C" w:rsidRPr="00B64BBA" w:rsidRDefault="00BF320C" w:rsidP="00B64BBA">
      <w:pPr>
        <w:spacing w:line="240" w:lineRule="auto"/>
        <w:rPr>
          <w:rFonts w:ascii="Times New Roman" w:hAnsi="Times New Roman" w:cs="Times New Roman"/>
        </w:rPr>
      </w:pPr>
    </w:p>
    <w:p w:rsidR="006E59CE" w:rsidRPr="00B64BBA" w:rsidRDefault="006E59CE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E59CE" w:rsidRPr="00B64BBA" w:rsidRDefault="006E59CE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91FDC" w:rsidRPr="00B64BBA" w:rsidRDefault="00191FDC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C5DB6" w:rsidRPr="00B64BBA" w:rsidRDefault="00EC5DB6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B6" w:rsidRPr="00B64BBA" w:rsidRDefault="00EC5DB6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B6" w:rsidRPr="00B64BBA" w:rsidRDefault="00EC5DB6" w:rsidP="00B64BBA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5DB6" w:rsidRPr="00B64BBA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86" w:rsidRDefault="00FF4686">
      <w:pPr>
        <w:spacing w:after="0" w:line="240" w:lineRule="auto"/>
      </w:pPr>
      <w:r>
        <w:separator/>
      </w:r>
    </w:p>
  </w:endnote>
  <w:endnote w:type="continuationSeparator" w:id="0">
    <w:p w:rsidR="00FF4686" w:rsidRDefault="00FF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86" w:rsidRDefault="00FF4686" w:rsidP="00EC5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F4686" w:rsidRDefault="00FF4686" w:rsidP="00EC5D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86" w:rsidRDefault="00FF4686" w:rsidP="00EC5D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686">
      <w:rPr>
        <w:rStyle w:val="a5"/>
        <w:noProof/>
      </w:rPr>
      <w:t>8</w:t>
    </w:r>
    <w:r>
      <w:rPr>
        <w:rStyle w:val="a5"/>
      </w:rPr>
      <w:fldChar w:fldCharType="end"/>
    </w:r>
  </w:p>
  <w:p w:rsidR="00FF4686" w:rsidRDefault="00FF4686" w:rsidP="00EC5D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86" w:rsidRDefault="00FF4686">
      <w:pPr>
        <w:spacing w:after="0" w:line="240" w:lineRule="auto"/>
      </w:pPr>
      <w:r>
        <w:separator/>
      </w:r>
    </w:p>
  </w:footnote>
  <w:footnote w:type="continuationSeparator" w:id="0">
    <w:p w:rsidR="00FF4686" w:rsidRDefault="00FF4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1D"/>
    <w:rsid w:val="00037530"/>
    <w:rsid w:val="00065D22"/>
    <w:rsid w:val="000B56DD"/>
    <w:rsid w:val="0014372C"/>
    <w:rsid w:val="001458C6"/>
    <w:rsid w:val="00151DD6"/>
    <w:rsid w:val="00156327"/>
    <w:rsid w:val="001632B4"/>
    <w:rsid w:val="00165BB2"/>
    <w:rsid w:val="00191FDC"/>
    <w:rsid w:val="001A5686"/>
    <w:rsid w:val="001C23BD"/>
    <w:rsid w:val="001F2FA6"/>
    <w:rsid w:val="002225EA"/>
    <w:rsid w:val="00230BD5"/>
    <w:rsid w:val="002333C3"/>
    <w:rsid w:val="00243DFD"/>
    <w:rsid w:val="00265A5A"/>
    <w:rsid w:val="0027691A"/>
    <w:rsid w:val="002C3B8A"/>
    <w:rsid w:val="002D5628"/>
    <w:rsid w:val="00365B02"/>
    <w:rsid w:val="00415879"/>
    <w:rsid w:val="004D194D"/>
    <w:rsid w:val="00647E15"/>
    <w:rsid w:val="006E59CE"/>
    <w:rsid w:val="00742917"/>
    <w:rsid w:val="007C03E3"/>
    <w:rsid w:val="00857343"/>
    <w:rsid w:val="00860115"/>
    <w:rsid w:val="00897D5A"/>
    <w:rsid w:val="00901229"/>
    <w:rsid w:val="0094583D"/>
    <w:rsid w:val="00994D98"/>
    <w:rsid w:val="009E6A14"/>
    <w:rsid w:val="00A31CFD"/>
    <w:rsid w:val="00AA7968"/>
    <w:rsid w:val="00AB2336"/>
    <w:rsid w:val="00B64BBA"/>
    <w:rsid w:val="00BC0C47"/>
    <w:rsid w:val="00BF320C"/>
    <w:rsid w:val="00CE571D"/>
    <w:rsid w:val="00DC4611"/>
    <w:rsid w:val="00E01CF2"/>
    <w:rsid w:val="00E51076"/>
    <w:rsid w:val="00EC5DB6"/>
    <w:rsid w:val="00F06EB0"/>
    <w:rsid w:val="00F36C59"/>
    <w:rsid w:val="00FA5BA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5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E5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571D"/>
  </w:style>
  <w:style w:type="paragraph" w:styleId="a6">
    <w:name w:val="No Spacing"/>
    <w:uiPriority w:val="99"/>
    <w:qFormat/>
    <w:rsid w:val="007429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63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5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E5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571D"/>
  </w:style>
  <w:style w:type="paragraph" w:styleId="a6">
    <w:name w:val="No Spacing"/>
    <w:uiPriority w:val="99"/>
    <w:qFormat/>
    <w:rsid w:val="007429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63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0970FBF1191866FB5A6907F5FE972722AF368FA3183E97D59018F29936CBFB4D4D65526F5sAL8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F5FB4BA6B27951535714D625E146AA080EBAE9D68DB4AFE14533C68694EA3EBAC0D4A94i4HFE" TargetMode="External"/><Relationship Id="rId12" Type="http://schemas.openxmlformats.org/officeDocument/2006/relationships/hyperlink" Target="consultantplus://offline/ref=E0424B32DF0B1454447040340A1DDD30BC966E025293D0B38DCF0EBFD2AB769C79012EE821B3uB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749909F3BCFB8AC103479B2EF83FC0AFA0B05C6410B5DAF4C4087DFBM7z9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70970FBF1191866FB5A6907F5FE972722AF368FA3183E97D59018F29936CBFB4D4D65526F5sAL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0970FBF1191866FB5A6907F5FE972722AF368FA3183E97D59018F29936CBFB4D4D65526F5sAL8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Давыдова</cp:lastModifiedBy>
  <cp:revision>7</cp:revision>
  <cp:lastPrinted>2012-10-19T13:49:00Z</cp:lastPrinted>
  <dcterms:created xsi:type="dcterms:W3CDTF">2012-10-19T05:42:00Z</dcterms:created>
  <dcterms:modified xsi:type="dcterms:W3CDTF">2012-10-19T13:50:00Z</dcterms:modified>
</cp:coreProperties>
</file>